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оценки планируемых предметных результатов ООП</w:t>
      </w:r>
      <w:r>
        <w:rPr>
          <w:rFonts w:ascii="Liberation Serif" w:hAnsi="Liberation Serif" w:cs="Liberation Serif"/>
          <w:b/>
          <w:sz w:val="24"/>
          <w:szCs w:val="24"/>
          <w:highlight w:val="white"/>
        </w:rPr>
        <w:t xml:space="preserve"> СОО</w:t>
      </w:r>
      <w:r>
        <w:rPr>
          <w:rFonts w:ascii="Liberation Serif" w:hAnsi="Liberation Serif" w:cs="Liberation Serif"/>
          <w:b/>
          <w:sz w:val="24"/>
          <w:szCs w:val="24"/>
          <w:highlight w:val="yellow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yellow"/>
        </w:rPr>
      </w:r>
    </w:p>
    <w:p>
      <w:pPr>
        <w:pStyle w:val="845"/>
        <w:ind w:firstLine="708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 учебному предмету «Информатика. Практикум»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4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«Информатика.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среднего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общего образования ЦДО и  РПУП «Информатика. Практикум» для 10-11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49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СОО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, конкретизирующим систему оценки по учебному предмету «Информатика. Практикум» в 10-11 классах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52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среднего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общего образования. В документе указано, что система оценки достижения планируемых результатов освоения программы среднего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общего образования должна: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среднего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практических,  исследовательских, творческих работ, самоанализа и самооценки, наблюдения;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highlight w:val="none"/>
        </w:rPr>
      </w:r>
      <w:r>
        <w:rPr>
          <w:highlight w:val="none"/>
        </w:rPr>
      </w:r>
    </w:p>
    <w:p>
      <w:pPr>
        <w:pStyle w:val="845"/>
        <w:ind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каждого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класса и выступает как основа (точка отсчета) для оценки динамики образовательных достижений. Объектом оценки являются: структура мотивации,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ставляет собой процедуру оценки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уровня достижения тематиче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ских планируемых результатов по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тодических ком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pStyle w:val="849"/>
        <w:ind w:firstLine="708"/>
        <w:jc w:val="both"/>
        <w:spacing w:line="240" w:lineRule="auto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cs="Liberation Serif"/>
          <w:b/>
          <w:color w:val="auto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color w:val="auto"/>
        </w:rPr>
      </w:r>
      <w:r>
        <w:rPr>
          <w:rFonts w:ascii="Liberation Serif" w:hAnsi="Liberation Serif" w:cs="Liberation Serif"/>
          <w:b/>
          <w:color w:val="auto"/>
        </w:rPr>
      </w:r>
    </w:p>
    <w:p>
      <w:pPr>
        <w:pStyle w:val="849"/>
        <w:ind w:firstLine="708"/>
        <w:jc w:val="both"/>
        <w:spacing w:line="240" w:lineRule="auto"/>
        <w:rPr>
          <w:rFonts w:ascii="Liberation Serif" w:hAnsi="Liberation Serif" w:cs="Liberation Serif" w:eastAsiaTheme="minorEastAsia"/>
          <w:lang w:eastAsia="ru-RU"/>
        </w:rPr>
      </w:pPr>
      <w:r>
        <w:rPr>
          <w:rFonts w:ascii="Liberation Serif" w:hAnsi="Liberation Serif" w:cs="Liberation Serif" w:eastAsiaTheme="minorEastAsia"/>
          <w:lang w:eastAsia="ru-RU"/>
        </w:rPr>
        <w:t xml:space="preserve">Освоение образовательной программы </w:t>
      </w:r>
      <w:r>
        <w:rPr>
          <w:rFonts w:ascii="Liberation Serif" w:hAnsi="Liberation Serif" w:cs="Liberation Serif" w:eastAsiaTheme="minorEastAsia"/>
          <w:highlight w:val="none"/>
          <w:lang w:eastAsia="ru-RU"/>
        </w:rPr>
        <w:t xml:space="preserve">среднего</w:t>
      </w:r>
      <w:r>
        <w:rPr>
          <w:rFonts w:ascii="Liberation Serif" w:hAnsi="Liberation Serif" w:cs="Liberation Serif" w:eastAsiaTheme="minorEastAsia"/>
          <w:lang w:eastAsia="ru-RU"/>
        </w:rPr>
        <w:t xml:space="preserve"> о</w:t>
      </w:r>
      <w:r>
        <w:rPr>
          <w:rFonts w:ascii="Liberation Serif" w:hAnsi="Liberation Serif" w:cs="Liberation Serif" w:eastAsiaTheme="minorEastAsia"/>
          <w:lang w:eastAsia="ru-RU"/>
        </w:rPr>
        <w:t xml:space="preserve">бщего образования, в том числе </w:t>
      </w:r>
      <w:r>
        <w:rPr>
          <w:rFonts w:ascii="Liberation Serif" w:hAnsi="Liberation Serif" w:cs="Liberation Serif" w:eastAsiaTheme="minorEastAsia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cs="Liberation Serif" w:eastAsiaTheme="minorEastAsia"/>
          <w:lang w:eastAsia="ru-RU"/>
        </w:rPr>
        <w:t xml:space="preserve">льной программы, сопровождается</w:t>
      </w:r>
      <w:r>
        <w:rPr>
          <w:rFonts w:ascii="Liberation Serif" w:hAnsi="Liberation Serif" w:cs="Liberation Serif" w:eastAsiaTheme="minorEastAsia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 w:eastAsiaTheme="minorEastAsia"/>
          <w:lang w:eastAsia="ru-RU"/>
        </w:rPr>
      </w:r>
      <w:r>
        <w:rPr>
          <w:rFonts w:ascii="Liberation Serif" w:hAnsi="Liberation Serif" w:cs="Liberation Serif" w:eastAsiaTheme="minorEastAsia"/>
          <w:lang w:eastAsia="ru-RU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Происходит по результатам освоения РПУП «Информатика. Практикум»  за учебный год.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Формами предъявления обучающимися своих достижений служат устные ответы, письменные работы (самостоятельные работы, тестирование и другие). В систему внутришкольного оценивания входит также оценка практиче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ских работ, проектов, творческих работ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«Информатика. Практикум»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информатики, зафиксированные во ФГОС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СОО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предмету, представлены в таблице.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righ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Таблица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</w:rPr>
        <w:t xml:space="preserve"> Требования к базовому уровню изучения информатики (ФГОС </w:t>
      </w: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  <w:t xml:space="preserve">СОО</w:t>
      </w: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</w:rPr>
        <w:t xml:space="preserve">)</w:t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</w:p>
    <w:tbl>
      <w:tblPr>
        <w:tblStyle w:val="698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3402"/>
      </w:tblGrid>
      <w:tr>
        <w:trPr/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№ п/п</w:t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Базовый уровень изучения информатики </w:t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/>
                <w:iCs/>
                <w:sz w:val="24"/>
                <w:szCs w:val="24"/>
                <w:highlight w:val="none"/>
              </w:rPr>
              <w:t xml:space="preserve">Тематический раздел</w:t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/>
                <w:i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владение основными понятиями: информация,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передача, хранение и обработка информации,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алгоритм, модель, граф, таблица, график, дерево, цифровой продукт и их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использование для решения учебных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практических задач; умение оперировать 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единицами измерения информационного объема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скорости передачи данных;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связь между размером алфавита и информационным весом 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вола; связь между единицами измерения информации: бит, байт, Кбайт, Мбайт, Гбайт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пояснять на примерах различия между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позиционными и непозиционными системами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счисления; записывать развернуто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целые и дробные числа в 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зиционных системах счисления, выполнять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арифметические операции в позиц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онных системах счисления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кодировать и декодировать сообщения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по заданным правилам; понимание основных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принципов кодирования информации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владение понятиями: высказывание, логическая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операция, логическое выражение;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записывать логические выражения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использованием дизъюнкции, конъюнкции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отрицания, определять истинность логических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выражений, если известны значения истинности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входящих в него переменных, строить таблицы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истинности для логических выражений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Теоретические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основы информатики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развитие алгоритмического мышления как</w:t>
            </w:r>
            <w:r/>
          </w:p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необходимого условия профессиональной</w:t>
            </w:r>
            <w:r/>
          </w:p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деятельности в современном обществе;</w:t>
            </w:r>
            <w:r/>
          </w:p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понимание сущности алгоритма и его свойств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Алгоритмы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программирование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white"/>
              </w:rPr>
              <w:t xml:space="preserve">сформированность представлений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white"/>
              </w:rPr>
              <w:t xml:space="preserve"> о языке программирования Pascal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whit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Алгоритмы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программирование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rPr/>
        <w:tc>
          <w:tcPr>
            <w:tcW w:w="709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сформированность представлений о назначении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основных компонентов компьютера;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использование различных программных систем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сервисов компьютера, программного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обеспечения; умение соотносить информацию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 характеристиках персонального компьютера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решаемыми задачами; представление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 истории и тенденциях развития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информационных технологий, в том числе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глобальных сетей; владение умением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ориентироваться в иерархической структуре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файловой системы, работать с файловой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системой персонального компьютера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использованием графического интерфейса,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 именно: создавать, копировать, перемещать,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переименовывать, удалять и архивировать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файлы и каталоги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владение умениями и навыками использования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информационных и коммуникационных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технологий для поиска, хранения, обработки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передачи и анализа различных видов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информации, навыками создания личного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информационного пространства; владение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умениями пользования цифровыми сервисами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государственных услуг, цифровыми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образовательными сервисами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bCs w:val="0"/>
                <w:i w:val="0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выбирать способ представления данных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 соответствии с поставленной задачей (таблицы,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схемы, графики, диаграммы) с использованием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соответствующих программных средств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обработки данных; умение работать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 данными с помощью электронных таблиц,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 готовой базой данных, умение заполнять базы данных, выполнять поиск, сортировку и фильтрацию записей, делать запросы на выборку данных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sz w:val="24"/>
                <w:szCs w:val="24"/>
                <w:highlight w:val="none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Информационные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pStyle w:val="853"/>
              <w:ind w:left="0" w:right="0" w:firstLine="0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работать 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текстовом редакторе и 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блачных сервисах, владение умениями и навыками использования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графических редакторов, создание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компьютерных презентаций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Информационные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11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сформированность представлений о сферах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профессиональной деятельности, связанных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с информатикой, программированием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современными информационно-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коммуникационными технологиями,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основанными на достижениях науки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IT-отрасли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12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освоение и соблюдение требований безопасной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эксплуатации технических средств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информационно-коммуникационных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технологий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13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соблюдать сетевой этикет, базовые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нормы информационной этики и права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при работе с приложениями на любых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устройствах и в сети Интернет, выбирать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безопасные стратегии поведения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 сети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14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использовать различные средства защиты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от вредоносного программного обеспечения,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обеспечивать личную безопасность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при использовании ресурсов сети Интернет,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 том числе умение защищать персональную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информацию от несанкционированного доступа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его последствий (разглашения, подмены,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утраты данных) с учетом основных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технологических и социально-психологических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аспектов использования сети Интернет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(сетевая анонимность, цифровой след,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аутентичность субъектов и ресурсов, опасность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вредоносного кода)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</w:p>
        </w:tc>
      </w:tr>
      <w:tr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15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</w:p>
        </w:tc>
        <w:tc>
          <w:tcPr>
            <w:tcW w:w="6095" w:type="dxa"/>
            <w:vMerge w:val="restart"/>
            <w:textDirection w:val="lrTb"/>
            <w:noWrap w:val="false"/>
          </w:tcPr>
          <w:p>
            <w:pPr>
              <w:jc w:val="both"/>
              <w:spacing w:line="240" w:lineRule="auto"/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умение распознавать попытки и предупреждать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вовлечение себя и окружающих в деструктивные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и криминальные формы сетевой активности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(в том числе кибербуллинг, фишинг)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rPr>
                <w:rFonts w:ascii="Liberation Serif" w:hAnsi="Liberation Serif" w:eastAsia="Liberation Serif" w:cs="Liberation Serif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Цифровая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  <w:highlight w:val="none"/>
              </w:rPr>
              <w:t xml:space="preserve">грамотность</w:t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</w:p>
        </w:tc>
      </w:tr>
    </w:tbl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целом 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обеспечения.</w:t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pStyle w:val="849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информатике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</w:p>
    <w:p>
      <w:pPr>
        <w:pStyle w:val="845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Система оценки достижения планируемых результатов РПУП «Информатика.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информатике, его достаточность для освоения программы основного общего образования по информатике.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Таким образом, учитель получает возможность оценить уровень остаточных знаний по информатике или, возможно, их прирост из-за постоянного применения цифровых навыков в быту. Стартовая диагностика проводится в форме теста.</w:t>
        <w:br/>
        <w:t xml:space="preserve">          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образовательного процесса. Текущее оценивание встроено в образовательный процесс, поскольку можно оценивать любую активность обучающегося, которую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обучении информатике в целях текущего оценивания чаще всего используют устный опрос, тематическую проверку или практическую работу. Во всех видах оценивания предметных результатов по информатике предпочтение отдается тестовым формам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представления заданий из-за их компактного формата, возможности многократного использования и оперативности применения.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Устный опрос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позволяет актуализировать изученный материал, структурировать его и оценить качество усвоения. Его можно использовать для повторения, систематизации, закрепления материала. Он позволяет оперативно скорректировать неточности и ошибки, а также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азвивает коммуникативные навыки.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Устный опрос может использоваться на уроке многократно, после каждого нового блока темы.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u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u w:val="none"/>
        </w:rPr>
        <w:t xml:space="preserve">Для устных ответов определяются следующие критерии оценок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  <w:u w:val="none"/>
        </w:rPr>
        <w:t xml:space="preserve">:</w:t>
      </w:r>
      <w:r>
        <w:rPr>
          <w:rFonts w:ascii="Liberation Serif" w:hAnsi="Liberation Serif" w:cs="Liberation Serif"/>
          <w:sz w:val="24"/>
          <w:szCs w:val="24"/>
          <w:u w:val="none"/>
        </w:rPr>
      </w:r>
      <w:r>
        <w:rPr>
          <w:rFonts w:ascii="Liberation Serif" w:hAnsi="Liberation Serif" w:cs="Liberation Serif"/>
          <w:sz w:val="24"/>
          <w:szCs w:val="24"/>
          <w:u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«5» выставляется, если ученик: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полно раскрыл содержание материала в объеме, предусмотренном программой;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правильно выполнил графическое изображение (по необходимости);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отвечал самостоятельно без наводящих вопросов учителя. Возможны одна-две неточности при освещении второстепенных вопросов или в выкладках, которые ученик легко исправил по замечанию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«4» выставляется,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ответ удовлетворяет в основном требованиям на оценку «5», но при этом имеет один из недостатков: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в изложении допущены небольшие пробелы, не исказившие логического и информационного содержания ответа;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допущены один-два недочета при освещении основного содержания ответа, исправленные по замечанию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допущены ошибка или более двух недочетов при освещении второстепенных вопросов или в выкладках, легко исправленные по замечанию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«3» выставляется,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ьзовании терминологии, чертежах, блок-схем и выкладках, исправленные после нескольких наводящих вопросов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при знании теоретического материала выявлена недостаточная сформированность основных умений и навыков.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«2» выставляется, если: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не раскрыто основное содержание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обнаружено незнание или непонимание учеником большей или наиболее важной части учебного материала,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совокупность стандартизированных заданий, по результатам выполнения которых судят о знаниях, умениях и навыках испытуемого.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698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  <w:t xml:space="preserve">Уровень: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  <w:u w:val="singl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Повышенный 95% и более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Выше базового 75-94%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Базовый 50-74%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t xml:space="preserve">Ниже базового менее 50%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Тестирование позволяет оперативно выявить пробелы в знаниях и умениях обучающихся и скорректировать их на начальном этапе изучения темы. Тестирование можно использовать для проверки теоретических знаний, вычислительных навыков и практических умений, а такж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функциональной грамотности. Тесты можно использовать как текущем, так и итоговом оценивании предметных и метапредметных результатов.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Практическая работа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проводится на завершающем этапе изучения материала по отдельной теме, связанной с формированием навыков работы с различным программным обеспечением. По информатике практически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 работы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расчетов и пр.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Чтобы выполнить практиче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скую работу, надо изучить среду и инструменты для работы. Поэтому в основной школе сначала используют практические упражнения. После этого ученикам предлагается практическая работа, состоящая из заданий на применение умений, отработанных при выполнении пра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ктических упражнений.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highlight w:val="none"/>
        </w:rPr>
      </w:pPr>
      <w:r>
        <w:rPr>
          <w:rFonts w:ascii="Liberation Serif" w:hAnsi="Liberation Serif" w:eastAsia="Liberation Serif" w:cs="Liberation Serif"/>
          <w:i/>
          <w:iCs/>
          <w:sz w:val="24"/>
          <w:szCs w:val="24"/>
        </w:rPr>
        <w:t xml:space="preserve">Практическое упражнение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кратковременная деятельность на отработку определенных навыков с использованием программного обеспечения. В условиях одночасового предмета оптимальное решение состоит в том, чтобы использовать кратковременные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практические упражнения на отработку отдельных навыков, а в конце изучения темы – проверить все освоенные навыки в практической работе. 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  <w:u w:val="single"/>
        </w:rPr>
        <w:t xml:space="preserve">Практическая работа на ПК оценивается следующим образом: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«5»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учащийся самостоятельно выполнил все этапы решения задач на ПК;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полностью и получен верный ответ или иное требуемое представление результата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«4»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полностью, но при выполнении обнаружилось недостаточное владение навыками работы с ПК в рамках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правильно выполнена большая часть работы (свыше 85 %);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полностью, но использованы наименее оптимальные подходы к решению поставленной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«3»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 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оценка «2» ставится, если: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numPr>
          <w:ilvl w:val="0"/>
          <w:numId w:val="6"/>
        </w:numPr>
        <w:ind w:left="0" w:right="0" w:firstLine="0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направлено на выявление и оценку достижения образовательных результатов, связанных с изучением отдельных тем образовательной программы.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те же средства оценивания, что и в текущем оценивании.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Для проведения промежуточной аттестации используются задания КИМ размещенные на сайте ГОУ РК «РЦО»: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hyperlink r:id="rId9" w:tooltip="https://rcoedu.gosuslugi.ru/ofitsialno/dokumenty/dokumenty-all_669.html" w:history="1">
        <w:r>
          <w:rPr>
            <w:rStyle w:val="824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  <w:t xml:space="preserve">https://rcoedu.gosuslugi.ru/ofitsialno/dokumenty/dokumenty-all_669.html</w:t>
        </w:r>
        <w:r>
          <w:rPr>
            <w:rStyle w:val="824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  <w:r>
          <w:rPr>
            <w:rStyle w:val="824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</w:hyperlink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«Информатика.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информатики;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Оценивание проектной деятельности обучающегося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Проектная работа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это творческая продуктивная деятельность обучающегося, направленная на достижение определенной цели, решение какой-либо проблемы. В проекте раскрываются способы и средства практической реализации замысла. Разработка и выполнение проекта 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оставляют проектную деятельность обучающегося.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42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Проект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pStyle w:val="842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«5»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ученик активно работает над проектом по своей теме, проявляет интерес к работе,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тельно ставит цели, достигает их, умеет видеть свои затруднения и справляться с ними.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«4»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ученик активно работает над проектом по своей теме, проявляет интерес к работе, самосто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тельно  и  с помощью учителя ставит цели и  достигает их, самостоятельно умеет видеть свои 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труднения и справляться с ними в простых заданиях, в сложных-с помощью учителя, проявляет интерес к изучаемой теме.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«3» -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(ставится в исключительных случаях) не справляется самостоятельно даже с простыми зад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ниями.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  <w:t xml:space="preserve">«2» - 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white"/>
          <w:lang w:val="en-US"/>
        </w:rPr>
        <w:t xml:space="preserve">(</w:t>
      </w:r>
      <w:r>
        <w:rPr>
          <w:rFonts w:ascii="Liberation Serif" w:hAnsi="Liberation Serif" w:cs="Liberation Serif"/>
          <w:b w:val="0"/>
          <w:bCs w:val="0"/>
          <w:color w:val="000000"/>
          <w:sz w:val="24"/>
          <w:szCs w:val="24"/>
          <w:highlight w:val="white"/>
          <w:lang w:val="ru-RU"/>
        </w:rPr>
        <w:t xml:space="preserve">ставиться в исключительных случаях) если ученик отказывается выполнять задания. 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  <w:t xml:space="preserve">Ученик всегда должен иметь возмо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  <w:t xml:space="preserve">ж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  <w:t xml:space="preserve">ность получить положительную отметку.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jc w:val="both"/>
        <w:spacing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NewRomanPSMT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2"/>
    <w:next w:val="842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2"/>
    <w:next w:val="842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2"/>
    <w:next w:val="842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8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2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paragraph" w:styleId="845">
    <w:name w:val="No Spacing"/>
    <w:basedOn w:val="842"/>
    <w:uiPriority w:val="1"/>
    <w:qFormat/>
    <w:pPr>
      <w:spacing w:after="0" w:line="240" w:lineRule="auto"/>
    </w:pPr>
  </w:style>
  <w:style w:type="paragraph" w:styleId="846">
    <w:name w:val="List Paragraph"/>
    <w:basedOn w:val="842"/>
    <w:uiPriority w:val="34"/>
    <w:qFormat/>
    <w:pPr>
      <w:contextualSpacing/>
      <w:ind w:left="720"/>
    </w:pPr>
  </w:style>
  <w:style w:type="character" w:styleId="847" w:default="1">
    <w:name w:val="Default Paragraph Font"/>
    <w:uiPriority w:val="1"/>
    <w:semiHidden/>
    <w:unhideWhenUsed/>
  </w:style>
  <w:style w:type="character" w:styleId="848" w:customStyle="1">
    <w:name w:val="Strong"/>
    <w:qFormat/>
    <w:rPr>
      <w:b/>
      <w:bCs/>
    </w:rPr>
  </w:style>
  <w:style w:type="paragraph" w:styleId="849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50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51" w:customStyle="1">
    <w:name w:val="Без интервала2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2" w:customStyle="1">
    <w:name w:val="Body 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53" w:customStyle="1">
    <w:name w:val="body"/>
    <w:uiPriority w:val="99"/>
    <w:pPr>
      <w:contextualSpacing w:val="0"/>
      <w:ind w:left="0" w:right="0" w:firstLine="227"/>
      <w:jc w:val="both"/>
      <w:keepLines w:val="0"/>
      <w:keepNext w:val="0"/>
      <w:pageBreakBefore w:val="0"/>
      <w:spacing w:before="0" w:beforeAutospacing="0" w:after="0" w:afterAutospacing="0" w:line="240" w:lineRule="atLeas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PSMT" w:hAnsi="TimesNewRomanPSMT" w:eastAsia="Times New Roman" w:cs="TimesNewRomanPSMT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coedu.gosuslugi.ru/ofitsialno/dokumenty/dokumenty-all_669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2024-08-21T08:36:39Z</dcterms:modified>
</cp:coreProperties>
</file>