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 ООП СОО</w:t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по учебному предмету «Химия.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«Химия.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основного общего образования ЦДО и  РПУП «Химия. Практикум» для 10-11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ООО, конкретизирующим систему оценки по учебному предмету «Химия. Практикум» в 5-9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7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 ведётся  в ходе процедур текущ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его, тематического, промежуточного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итоговой (годовой) оценки, а также администрацией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ходе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43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eastAsia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846"/>
        <w:ind w:firstLine="708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Освоение образовательной программы основного о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бщего образования, в том числе 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льной программы, сопровождается</w:t>
      </w:r>
      <w:r>
        <w:rPr>
          <w:rFonts w:ascii="Liberation Serif" w:hAnsi="Liberation Serif" w:eastAsia="Liberation Serif" w:cs="Liberation Serif" w:eastAsiaTheme="minorEastAsia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«Химия. Практикум»  за учебный год.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«Химия. Практикум»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химии, зафиксированные во ФГОС ООО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таблице.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right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</w:rPr>
        <w:t xml:space="preserve">Таблица 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Описание содержательной характеристики предметных результатов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696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386"/>
      </w:tblGrid>
      <w:tr>
        <w:trPr/>
        <w:tc>
          <w:tcPr>
            <w:gridSpan w:val="2"/>
            <w:tcW w:w="1006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  <w:t xml:space="preserve">Предметный результат: раскрывать смысл основных химических понятий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Контролируемые предметные знания (знаниевая составляющая) 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Предметные умения, характеризующие достижение предметного результата (деятельностная составляющая)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Основные химические понятия: химический элемент, атом, молекула, простые и сложные вещества, валентность, химическая связь (ковалентная, ионная, металлическая), степень окисления, ион, катионы, </w:t>
            </w:r>
            <w:r>
              <w:rPr>
                <w:rFonts w:ascii="Liberation Serif" w:hAnsi="Liberation Serif" w:eastAsia="Liberation Serif" w:cs="Liberation Serif"/>
              </w:rPr>
              <w:t xml:space="preserve">анионы, химич</w:t>
            </w:r>
            <w:r>
              <w:rPr>
                <w:rFonts w:ascii="Liberation Serif" w:hAnsi="Liberation Serif" w:eastAsia="Liberation Serif" w:cs="Liberation Serif"/>
              </w:rPr>
              <w:t xml:space="preserve">еская реакция, электролитическая диссоциация, реакции ионного обмена и др. 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844"/>
              <w:numPr>
                <w:ilvl w:val="0"/>
                <w:numId w:val="3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выделять</w:t>
            </w:r>
            <w:r>
              <w:rPr>
                <w:rFonts w:ascii="Liberation Serif" w:hAnsi="Liberation Serif" w:eastAsia="Liberation Serif" w:cs="Liberation Serif"/>
              </w:rPr>
              <w:t xml:space="preserve"> существенные признаки названных понятий;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иллюстрировать</w:t>
            </w:r>
            <w:r>
              <w:rPr>
                <w:rFonts w:ascii="Liberation Serif" w:hAnsi="Liberation Serif" w:eastAsia="Liberation Serif" w:cs="Liberation Serif"/>
              </w:rPr>
              <w:t xml:space="preserve"> взаимосвязь химических понятий;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применять</w:t>
            </w:r>
            <w:r>
              <w:rPr>
                <w:rFonts w:ascii="Liberation Serif" w:hAnsi="Liberation Serif" w:eastAsia="Liberation Serif" w:cs="Liberation Serif"/>
              </w:rPr>
              <w:t xml:space="preserve"> основные химические понятия при описании свойств</w:t>
            </w:r>
            <w:r>
              <w:rPr>
                <w:rFonts w:ascii="Liberation Serif" w:hAnsi="Liberation Serif" w:eastAsia="Liberation Serif" w:cs="Liberation Serif"/>
              </w:rPr>
              <w:t xml:space="preserve">веществ и особенностей их превращений;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определять</w:t>
            </w:r>
            <w:r>
              <w:rPr>
                <w:rFonts w:ascii="Liberation Serif" w:hAnsi="Liberation Serif" w:eastAsia="Liberation Serif" w:cs="Liberation Serif"/>
              </w:rPr>
              <w:t xml:space="preserve"> валентность и степень окисления элементов в бинарных соединениях; виды химической связи в неорганических соединениях (по формуле вещества); характер среды водных растворов неорганических веществ, заряд ио</w:t>
            </w:r>
            <w:r>
              <w:rPr>
                <w:rFonts w:ascii="Liberation Serif" w:hAnsi="Liberation Serif" w:eastAsia="Liberation Serif" w:cs="Liberation Serif"/>
              </w:rPr>
              <w:t xml:space="preserve">на (по формуле вещества);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4"/>
              <w:numPr>
                <w:ilvl w:val="0"/>
                <w:numId w:val="1"/>
              </w:numPr>
              <w:ind w:left="283" w:right="0" w:hanging="283"/>
              <w:jc w:val="left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использовать</w:t>
            </w:r>
            <w:r>
              <w:rPr>
                <w:rFonts w:ascii="Liberation Serif" w:hAnsi="Liberation Serif" w:eastAsia="Liberation Serif" w:cs="Liberation Serif"/>
              </w:rPr>
              <w:t xml:space="preserve"> химическую символику для составления формул веществ и уравнений химических реакций и т. д.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gridSpan w:val="2"/>
            <w:tcW w:w="1006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</w:rPr>
              <w:t xml:space="preserve">Предметный результат: раскрывать смысл периодического закона: демонстрировать понимание периодической зависимости свойств химических элементов от их положения в Периодической системе химических элементов Д.И. Менделеева</w:t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Периодический закон и Периодическая система химических элементов Д.И. Менделеева. Строение атомов.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</w:rPr>
              <w:t xml:space="preserve">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описывать и характеризовать</w:t>
            </w:r>
            <w:r>
              <w:rPr>
                <w:rFonts w:ascii="Liberation Serif" w:hAnsi="Liberation Serif" w:eastAsia="Liberation Serif" w:cs="Liberation Serif"/>
              </w:rPr>
              <w:t xml:space="preserve"> табличную форму Периодической системы химических элементов Д.И. Менделеева, различать понятия «главная подгруппа» (А группа), «побочная подгруппа» (Б группа), малые и большие периоды;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 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соотносить</w:t>
            </w:r>
            <w:r>
              <w:rPr>
                <w:rFonts w:ascii="Liberation Serif" w:hAnsi="Liberation Serif" w:eastAsia="Liberation Serif" w:cs="Liberation Serif"/>
              </w:rPr>
              <w:t xml:space="preserve"> обозначения, которые имеются </w:t>
            </w:r>
            <w:r>
              <w:rPr>
                <w:rFonts w:ascii="Liberation Serif" w:hAnsi="Liberation Serif" w:eastAsia="Liberation Serif" w:cs="Liberation Serif"/>
              </w:rPr>
              <w:t xml:space="preserve">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 атома, общее число электронов, распределение электронов по электронным слоям);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  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объяснять (хар</w:t>
            </w:r>
            <w:r>
              <w:rPr>
                <w:rFonts w:ascii="Liberation Serif" w:hAnsi="Liberation Serif" w:eastAsia="Liberation Serif" w:cs="Liberation Serif"/>
                <w:i/>
                <w:iCs/>
              </w:rPr>
              <w:t xml:space="preserve">актеризовать)</w:t>
            </w:r>
            <w:r>
              <w:rPr>
                <w:rFonts w:ascii="Liberation Serif" w:hAnsi="Liberation Serif" w:eastAsia="Liberation Serif" w:cs="Liberation Serif"/>
              </w:rPr>
              <w:t xml:space="preserve"> общие закономерности в изменении свойств элементов и их соединений в пределах малых периодов и главных подгрупп (А групп) в учетом строения атомов элементов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</w:tbl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Таким образом, на основании сказанного выше можно заключить, что предметные результаты согласно своему назначению и принципам организации: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 уточняют и конкретизируют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общее понимание сущности установленных стандартом требований к результатам освоения ФОП 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ОО, детализируют содержание этих результатов применительно к специфике учебного материала, представленного в структуре основных разделов учебного предмета «Химия. Практикум»;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характеризуют и описывают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способы действий с учебным материалом, овладение которыми позволяет обуч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ающимся успешно решать учебные и учебно-практические задачи, ориентированные на получение, преобразование знаний и на применение их в новых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numPr>
          <w:ilvl w:val="0"/>
          <w:numId w:val="5"/>
        </w:numPr>
        <w:ind w:right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выступают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качестве содержательной и критериальной основы для определения методов и приемов по организ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ации процедур оценивания и созданию инструментария оценки в системе контроля образовательных достижений обучающихся по освоению учебного предмета «Химия. Практикум».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целях обеспечения объективности оценки достижения предметных результатов при обучении химии каждый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из них уточнен с ориентацией на его «измеряемость» и «достижимость». Это означает, что главными объектами оценивания являются те элементы предметных знаний и предметных умений, которые являются обязательными для освоения всеми обучающимися по итогам обучен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ия. Основным фактором при оценке достижения предметных результатов становится представленное в каждом из них указание на уровень освоения элементов содержания учебного предмета «Химия. Практикум».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химии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 w:val="0"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«Информатика.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химии, его достаточность для освоения программы основного общего образования по химии.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химии или, возможно, их прирост из-за постоянного применения химических навыков в быту. Стартовая диагностика проводится в форме теста.</w:t>
        <w:br/>
        <w:t xml:space="preserve">          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Ниже базового менее 50%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химии в целях текущего оценивания чаще всего используют устный опрос, тематическую проверку. Во всех видах оценивания предметных результатов по химии предпочтение отдается тестовым формам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азвивает коммуникативные навыки.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Рекомендации по оцениванию устного ответа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оценивании ответа обучающегося на поставленный вопрос или его ответа по результатам выполнения конкретного упражнения целесообразно применить следующие критерии: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Отметка «5» ставится при условии, если обучающийся: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полный аргументированный ответ,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изложенный в определенной логической последовательности;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демонстрирует понимание сущности соответствующих химических понятий, законов и теорий, использует их во взаимосвязи для объяснения рассматриваемых явлений и свойств изучаемых веществ;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успешно ре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ализует полученные ранее знания для построения выводов и обобщений.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«4» ставится при условии, если обучающийся: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 дает ответ, удовлетворяющий в целом требованиям к ответу на отметку «5», но при этом допускает некоторые неточности в толковании су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щности фактов и явлений, о которых идет речь.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 самостоятельно устраняет имеющиеся в ответе неточности.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«3» ставится при условии, если обучающийся: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ответ, который по содержанию в большей части удовлетворяет требованиям к ответу на оценку «4»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но допускает ошибки при использовании теоретического и фактологического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не демонстрирует умения по установлению связи между изученным ранее и новым теоретическим материалом;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затрудняется в построении выводов 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допущенные ошибк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исправляет с помощью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Отметка «2» ставится в крайнем случае, при условии, если обучающийся: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дает неверный ответ на поставленный вопрос;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показывает несформированность знаний соответствующих понятий 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неверно применяет изученные понятия, закон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ы и теории для объяснения рассматриваемых явлений и свойств изучаемых веществ;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 затрудняется в исправлении допущенных ошибок как самостоятельно, так и с помощью учителя.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6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          Ниже базового менее 50%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позволяет оперативно выявить пробелы в знаниях и умениях обучающихся и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функциональной грамотности. Тесты можно использовать как текущем, так и итоговом оценивании предметных и метапредметных результатов.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Рекомендации по оцениванию расчетных задач по уравнению химической реакции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Объектом оценивания являются: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 предметный результат – сформированность умения проводить расчеты по уравнению химической реакции;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метапредметные результаты – сформированность умений строить логические рассуждения, самостоятельно выбирать способ решения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учебной задачи.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Отметим те логические действия, которые являются необходимыми для решения данной задачи: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1) составление уравнения химической реакции, о которой идет речь в условии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определение соотношения количества веществ – пропорциональной зависимости, котора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 устанавливается в соответствии с коэффициентами в уравнении реакции;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3) нахождение искомой физической величины.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Каждое логическое действие можно оценить в 1 балл, тогда суммарный балл за верное решение задачи будет равен 3 баллам. Такой принцип критериал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ьного оценивания целесообразен на первых этапах формирования умения решать расчетные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процессе дальнейшего изучения учебного предмета «Химия. Практикум» используются задания, условие которых дополняется новыми элементами знаний. Следовательно, будет увеличив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аться и количество учебных действий, необходимых для решения задачи. При этом сходные по своему характеру учебные действия, например нахождение массы (объема) веществ по известному количеству вещества (и наоборот), могут повторяться применительно к несколь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ким веществам. В данном случае такие действия целесообразно оценивать в 1 балл. Таким образом, отметим, что к критериям оценивания решения расчетной задачи могут быть отнесены следующие показатели мыслительной деятельности: 1) понимание химической сущности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процесса (составление уравнения химической реакции); 2) установление пропорциональной зависимости (соотношения) между количеством вещества участников процесса во взаимосвязи; 3) применение соответствующих способов вычисления заданной физической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Тематическое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оценивании.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«РЦО»: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hyperlink r:id="rId9" w:tooltip="https://rcoedu.gosuslugi.ru/ofitsialno/dokumenty/dokumenty-all_669.html" w:history="1"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  <w:t xml:space="preserve">https://rcoedu.gosuslugi.ru/ofitsialno/dokumenty/dokumenty-all_669.html</w:t>
        </w:r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  <w:r>
          <w:rPr>
            <w:rStyle w:val="822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«Химия. Практикум»  за учебный год.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0"/>
    <w:next w:val="84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0"/>
    <w:next w:val="840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paragraph" w:styleId="843">
    <w:name w:val="No Spacing"/>
    <w:basedOn w:val="840"/>
    <w:uiPriority w:val="1"/>
    <w:qFormat/>
    <w:pPr>
      <w:spacing w:after="0" w:line="240" w:lineRule="auto"/>
    </w:pPr>
  </w:style>
  <w:style w:type="paragraph" w:styleId="844">
    <w:name w:val="List Paragraph"/>
    <w:basedOn w:val="840"/>
    <w:uiPriority w:val="34"/>
    <w:qFormat/>
    <w:pPr>
      <w:contextualSpacing/>
      <w:ind w:left="720"/>
    </w:pPr>
  </w:style>
  <w:style w:type="character" w:styleId="845" w:default="1">
    <w:name w:val="Default Paragraph Font"/>
    <w:uiPriority w:val="1"/>
    <w:semiHidden/>
    <w:unhideWhenUsed/>
  </w:style>
  <w:style w:type="paragraph" w:styleId="846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47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2024-09-02T08:19:22Z</dcterms:modified>
</cp:coreProperties>
</file>