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предметных результатов ООП ООО по учебному предмету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«Физика. Практикум»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Система оценки планируемых предметных результатов по учебному предмету «Физика. Практикум»: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соответствует п. 1.3. Основной образовательной программы основного общего образования ЦДО и РПУП «Физика. Практикум» для 7-9 классов;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является Приложением к ООП ООО, конкретизирующим систему оценки по учебному предмету «Физика. Практикум» в 7-9 классах;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разработана на основе «Системы оценки достижений планируемых предметных результатов освоения учебного предмета «Физика»: методические рекомендации/ под ред. М.Ю. Демидовой, А.Ю.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Пентина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. – М.: ФГБНУ «Институт стратегии развития образования», 2023».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результатов по предмету.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иале, с использованием критериев «знание и понимание» и «применение», оценка функциональной грамотности направлена на выявление способности обучающихся применять предметные знания и умения во внеучебной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ности применить изученные знания и умения при решении нетипичных задач, которые связаны с внеучебными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внеучебных ситуациях. Такие процедуры строятся на специальном инструментарии, не опирающемся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 соответствии с требованиями ФГОС ООО все предметные результаты по физике для удобства можно объединить в несколько групп: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Освоение понятийного аппарата:</w:t>
      </w:r>
      <w:r>
        <w:rPr>
          <w:rFonts w:ascii="Liberation Serif" w:hAnsi="Liberation Serif" w:cs="Liberation Serif"/>
          <w:sz w:val="24"/>
          <w:szCs w:val="24"/>
        </w:rPr>
        <w:t xml:space="preserve"> 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Формирование методологических умений: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ориентировка в методах научного познания, проведение опытов по наблюдению физических явлений, прямых и косвенных измерений, исследований зависимостей физических величин.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Решение качественных и расчетных задач:</w:t>
      </w:r>
      <w:r>
        <w:rPr>
          <w:rFonts w:ascii="Liberation Serif" w:hAnsi="Liberation Serif" w:cs="Liberation Serif"/>
          <w:sz w:val="24"/>
          <w:szCs w:val="24"/>
        </w:rPr>
        <w:t xml:space="preserve"> объяснение явлений и процессов, решение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Понимание прикладного значения полученных знаний</w:t>
      </w:r>
      <w:r>
        <w:rPr>
          <w:rFonts w:ascii="Liberation Serif" w:hAnsi="Liberation Serif" w:cs="Liberation Serif"/>
          <w:sz w:val="24"/>
          <w:szCs w:val="24"/>
        </w:rPr>
        <w:t xml:space="preserve">: умения 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 и технологических процессов, распознавание физических явлений в окружающей жизни.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Работа с информацией физического содержания:</w:t>
      </w:r>
      <w:r>
        <w:rPr>
          <w:rFonts w:ascii="Liberation Serif" w:hAnsi="Liberation Serif" w:cs="Liberation Serif"/>
          <w:sz w:val="24"/>
          <w:szCs w:val="24"/>
        </w:rPr>
        <w:t xml:space="preserve"> поиск информации физического содержания, использование информации при выполнении учебных заданий, создание собственных письменных и устных сообщений.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Достижение данной группы предметных результатов опирается на систематическую работу по формированию читательской грамотности и развитию умений связной письменной и устной речи на уроках физики.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</w:rPr>
        <w:t xml:space="preserve">Компоненты оценивания предметных результатов по предмету «Физика. Практикум»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</w:rPr>
        <w:t xml:space="preserve">7-9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Компоненты оценивания реализуются в соответствии с предметными результатами и содержанием РПУП для 7-9 классов.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eastAsia="ru-RU"/>
        </w:rPr>
        <w:tab/>
        <w:t xml:space="preserve">Предметные результаты по учебному предмету «Физика. Практикум» должны обеспечивать: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1) 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2) знания о видах материи, о движении как способе существования материи, об атомно-молекулярной теории строения вещества, о физической сущности явлений природы; умение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явления по описанию их характерных свойств и на основе опытов, демонстрирующих данное физическое явление; умение распознавать проявление изученных физических явлений в окружающем мире, выделяя их существенные свойства/признаки;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3) владение основами понятийного аппарата и символического языка физики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использование их для решения учебных задач, умение характеризовать свойства тел, физические явления и процессы, используя фундаментальные и эмпирические законы; умение описывать изученные свойства тел и физические явления, используя физические величины;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4) умение проводить прямые и косвенные измерения физических величин с использованием аналоговых и цифровых измерительных приборов;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5) понимание характерных свойств физических моделей и умение применять их для объяснения физических процессов;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6) умение объяснять физические процес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физические законы, закономерности и модели;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7) умение решать расчетные задачи, используя законы и формулы, связывающие физические величины, в частности, записывать краткое условие задачи, выявлять недостающие данные,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выбирать законы и формулы, необходимые для ее решения, использовать справочные данные, проводить расчеты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8) 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9) умение использовать знания о физических явлениях в повседневной жизни для обеспечения безопас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10) опыт поиска, преобразования и представления информации физического содержания с использованием информационно-коммуникативных технологий; в том числе умение искать информацию физического содержания в сети Интернет, самостоятельно фор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мулируя поисковый запрос; 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алы, ресурсы сети Интернет; владение приемами конспектирования текста,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11) умение проводить учебное исследование под руководством учителя, в том чис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группе, следить за выполнением плана действий и корректировать его;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12) представления о сф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</w:rPr>
        <w:t xml:space="preserve">Проверка и оценка достижения предметных результатов по физике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Система оценки достижения планируемых результатов РПУП «Физика. Практикум» включает процедуры внутренней оценки: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ценки готовности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Объектом оценки являются: структу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ра мотивации, сформированность учебной деятельности, владение универсальными и специфическими для учебного предмета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физике, его достаточность для освоения программы основного общего образования по предмету. Как правило, для стартовой диагностики исп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ользуют материалы по предмету за предыдущий год. Предварительное повторение перед стартовой диагностикой не проводится. Таким образом, учитель получает возможность оценить уровень остаточных знаний по физике. Стартовая диагностика проводится в форме теста.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обучающегося, и диагностической, способствующей выявлению и осознанию учителем и обучающ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Результаты текущей оценки являются основой для индивидуализации учебного процесса.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вательного процесса. Текущее оценивание встроено в образовательный процесс, поскольку можно оценивать любую активность обучающегося, которую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63"/>
        <w:ind w:firstLine="708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физике в целях текущего оценивания чаще всего используют устный опрос, темати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ческую проверку, самостоятельную работу. </w:t>
      </w:r>
      <w:r/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/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Промежуточная аттестация.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Освоение образовательной программы основного общего образования, в том числе отдельной части или всего объ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ема учебного предмета образовательной программы, сопровождается промежуточной аттестацией учащихся, проводимой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Для проведения промежуточной аттестации используются задания КИМ, размещенные на сайте ГОУ РК «РЦО».</w:t>
      </w:r>
      <w:r/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63"/>
        <w:ind w:firstLine="708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(самостоятельные работы, тестирование и другие).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/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«Физика.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физики;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left="0" w:right="0" w:firstLine="709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Учет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предъявляемых ФГОС ООО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858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аряду с объектом системы оценки выделяется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но и способы действия и умения обучающихся.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Системно-деятельностный и комплексный подходы в оценивании реализуются при использовании заданий, связанных с выявлением достижения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как предметных, так и метапредметных результатов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8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  <w:t xml:space="preserve"> критерии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  <w14:ligatures w14:val="none"/>
        </w:rPr>
        <w:t xml:space="preserve">.</w:t>
      </w:r>
      <w:r/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Критерии оценивания учебного предмета «Физика»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Оценка ответов обучающихся при проведении устного опроса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льзовать для повторения, систематизации, закрепления материала. Он позволяет оперативно скорректировать неточности и ошибки, а также развивает коммуникативные навыки. Устный опрос может использоваться на уроке многократно, после каждого нового блока темы.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/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"5"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ученика полный, самостоятельный, правильный, изложен литературным языком в определенной логической последовательности, рассказ сопровождается новыми примерами;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</w:t>
      </w:r>
      <w:r>
        <w:rPr>
          <w:rFonts w:ascii="Liberation Serif" w:hAnsi="Liberation Serif" w:cs="Liberation Serif"/>
          <w:sz w:val="24"/>
          <w:szCs w:val="24"/>
        </w:rPr>
        <w:t xml:space="preserve">аруживает верное понимание физической сущности рассматриваемых явлений и закономерностей, законов и теории, дает точное определение и истолкование основных понятий, законов, теорий, правильное определение физических величин, их единиц и способов измерения;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умеет применить знания в новой ситуации при выполнении практических заданий, знает основные понятия и </w:t>
      </w:r>
      <w:r>
        <w:rPr>
          <w:rFonts w:ascii="Liberation Serif" w:hAnsi="Liberation Serif" w:cs="Liberation Serif"/>
          <w:sz w:val="24"/>
          <w:szCs w:val="24"/>
        </w:rPr>
        <w:t xml:space="preserve">умеет оперировать ими при решении задач, правильно выполняет чертежи, схемы и графики, сопутствующие ответу; может установить связь между изучаемым и ранее изученным материалом по курсу физики, а также с материалом, усвоенным при изучении других предметов;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владеет знаниями и умениями в объеме 95% - 100% от требований программы.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"4"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удовлетворяет основным требованиям к ответу на оценку "5", но содержит неточности в изложении фактов, определений, понятии, объяснении взаимосвязей, выводах и решении задач. Неточности легко исправляются при ответе на дополнительные вопросы;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не использует собственный план ответа, затрудняется в приведении новых примеров, и применении знаний в новой ситуации, слабо использует связи с ранее изученным материалом и с материалом, усвоенным при изучении других предметов;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объем знаний и умений обучающегося составляют 80-95 % от требований программы.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"3"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большая часть ответа удовлетворяет требованиям к ответу на оценку "4", но в ответе обнаруживаются отдельные пробелы, не препятствующие дальнейшему усвоению программного материала;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обнаруживает понимание учебного материала при недостаточ</w:t>
      </w:r>
      <w:r>
        <w:rPr>
          <w:rFonts w:ascii="Liberation Serif" w:hAnsi="Liberation Serif" w:cs="Liberation Serif"/>
          <w:sz w:val="24"/>
          <w:szCs w:val="24"/>
        </w:rPr>
        <w:t xml:space="preserve">ной полноте усвоения понятий или непоследовательности изложения материала, умеет применять полученные знания при решении простых задач с использованием готовых формул, но затрудняется при решении качественных задач и задач, требующих преобразования формул;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владеет знаниями и умениями в объеме не менее 80 % содержания, соответствующего программным требованиям.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"2"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неправильный, показывает незнание основных понятий, непонимание изученных закономерностей и взаимосвязей, неумение работать с учебником, решать количественные и качественные задачи;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не овладел основными знаниями и умениями в соответствии с требованиями программы;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не владеет знаниями в объеме требований на оценку "3".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Оценка ответов обучающихся при проведении самостоятельных и контрольных работ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"5"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выполнена полностью;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сделан перевод единиц</w:t>
      </w:r>
      <w:r>
        <w:rPr>
          <w:rFonts w:ascii="Liberation Serif" w:hAnsi="Liberation Serif" w:cs="Liberation Serif"/>
          <w:sz w:val="24"/>
          <w:szCs w:val="24"/>
        </w:rPr>
        <w:t xml:space="preserve"> всех физических величин в «СИ»,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проведены математические расчеты и дан полный ответ;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на качественные и теоретические вопросы дан полный, исчерпывающий ответ литературным языком в определен</w:t>
      </w:r>
      <w:r>
        <w:rPr>
          <w:rFonts w:ascii="Liberation Serif" w:hAnsi="Liberation Serif" w:cs="Liberation Serif"/>
          <w:sz w:val="24"/>
          <w:szCs w:val="24"/>
        </w:rPr>
        <w:t xml:space="preserve">ной логической последовательности, обучающийся приводит новые примеры, устанавливает связь между изучаемым и ранее изученным материалом по курсу физики, а также с материалом, усвоенным при изучении других предметов, умеет применить знания в новой ситуации;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обнаруживае</w:t>
      </w:r>
      <w:r>
        <w:rPr>
          <w:rFonts w:ascii="Liberation Serif" w:hAnsi="Liberation Serif" w:cs="Liberation Serif"/>
          <w:sz w:val="24"/>
          <w:szCs w:val="24"/>
        </w:rPr>
        <w:t xml:space="preserve">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"4"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выполнена полностью или не менее чем на 80 % от объема задания, но в ней имеются недочеты и несущественные ошибки;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"3"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выполнена в основном верно (объем выполненной части составляет не менее 2/3 от общего объема), но допущены существенные неточности;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обнаруживает понимание учебного материала при недостаточной полноте усвоения понятий и закономерностей;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"2"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 основном не выполнена (объем выполненной части менее 2/3 от общего объема задания);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Тестовый контроль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 всех видах оценивания предметных результатов по физике предпочтение отдается тестовым формам 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Целью тес</w:t>
      </w:r>
      <w:r>
        <w:rPr>
          <w:rFonts w:ascii="Liberation Serif" w:hAnsi="Liberation Serif" w:cs="Liberation Serif"/>
          <w:sz w:val="24"/>
          <w:szCs w:val="24"/>
        </w:rPr>
        <w:t xml:space="preserve">товых заданий является возможность выявления знаний, умений, навыков каждого испытуемого, поэтому в качестве интерпретационной системы отсчета используется конкретная для определенной возрастной группы учащихся область содержания данного учебного предмета.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Задания тестов разработаны в двух формах: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закрытые задания (задания с выбором ответов, при которых испытуемый выбирает правильный ответ из числа готовых, прилагаемых в задании теста (как правило 3 - 4 варианта).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открытые задания (задания, в которых испытуемый сам формулирует ответ).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тестировании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12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5192"/>
      </w:tblGrid>
      <w:tr>
        <w:trPr>
          <w:trHeight w:val="5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отлично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75-94%%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хорошо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50-74%%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63"/>
        <w:rPr>
          <w:rFonts w:ascii="Liberation Serif" w:hAnsi="Liberation Serif" w:cs="Liberation Serif"/>
          <w:bCs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Перечень ошибок.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Грубые ошибки: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выделить в ответе главное;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применять знания для решения задач и объяснения физических явлений;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неправильно сформулированные вопросы задачи или неверные объяснения хода ее решения; незнание приемов решения задач, аналогичных ранее решенным в классе, ошибки, показывающие неправильное понимание условия задачи или неправильное истолкование решения;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читать и строить графики и принципиальные схемы;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определить показание измерительного прибора.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Негрубые ошибки: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проведении опыта или измерений;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- ошибки в условных обозначениях на принципиальных схемах, неточности чертежей, графиков, схем;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пропуск или неточное написание наименований единиц физических величин;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нерациональный выбор хода решения.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Недочеты:</w:t>
      </w:r>
      <w:r>
        <w:rPr>
          <w:rFonts w:ascii="Liberation Serif" w:hAnsi="Liberation Serif" w:cs="Liberation Serif"/>
          <w:sz w:val="24"/>
          <w:szCs w:val="24"/>
        </w:rPr>
        <w:br/>
        <w:t xml:space="preserve"> - нерациональные записи при вычислениях, нерациональные приемы вычислении, преобразований и решений задач;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арифметические ошибки в вычислениях, если эти ошибки грубо не искажают реальность полученного результата;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отдельные погрешности в формулировке вопроса или ответа;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небрежное выполнение записей, чертежей, схем, графиков;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орфографические и пунктуационные ошибки.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center"/>
        <w:rPr>
          <w:rFonts w:ascii="Liberation Serif" w:hAnsi="Liberation Serif" w:eastAsia="Times New Roman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i w:val="0"/>
          <w:iCs w:val="0"/>
          <w:sz w:val="24"/>
          <w:szCs w:val="24"/>
        </w:rPr>
        <w:t xml:space="preserve">Критерии оценивания выполнения работы промежуточной аттестации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1"/>
        <w:ind w:firstLine="0"/>
        <w:jc w:val="both"/>
        <w:spacing w:after="0" w:line="240" w:lineRule="auto"/>
      </w:pPr>
      <w:r>
        <w:rPr>
          <w:rFonts w:ascii="Liberation Serif" w:hAnsi="Liberation Serif" w:cs="Liberation Serif"/>
        </w:rPr>
        <w:tab/>
        <w:t xml:space="preserve">КИМ состоит из трех частей, включающих в себя 10 заданий. Часть А состоит из 7 заданий с выбором одного ответа (ВО) (</w:t>
      </w:r>
      <w:r>
        <w:rPr>
          <w:rFonts w:ascii="Liberation Serif" w:hAnsi="Liberation Serif" w:eastAsia="Times New Roman" w:cs="Liberation Serif"/>
        </w:rPr>
        <w:t xml:space="preserve">все задания базового уровня сложности)</w:t>
      </w:r>
      <w:r>
        <w:rPr>
          <w:rFonts w:ascii="Liberation Serif" w:hAnsi="Liberation Serif" w:cs="Liberation Serif"/>
        </w:rPr>
        <w:t xml:space="preserve">, часть В содержит 2 задания с кратким ответом (КО) (повышенного уровня сложности), часть С содержит одно задание с развернутым ответом (РО) (повышенного уровня сложности).</w:t>
      </w:r>
      <w:r>
        <w:rPr>
          <w:rFonts w:ascii="Liberation Serif" w:hAnsi="Liberation Serif" w:cs="Liberation Serif"/>
        </w:rPr>
      </w:r>
      <w:r/>
    </w:p>
    <w:p>
      <w:pPr>
        <w:pStyle w:val="659"/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К заданиям 1 - 7 предлагаются 4 варианта ответа, из которых только один правильный. Ответы на задания 8 и 9 формулируются и записываются в виде краткого ответа. Ответы на задание 10 формулируются самостоятельно и записываются в развернутом виде.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Задания составлены с учетом формирования математической функциональной грамотности обучающихся.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/>
    </w:p>
    <w:p>
      <w:pPr>
        <w:pStyle w:val="861"/>
        <w:ind w:firstLine="709"/>
        <w:jc w:val="both"/>
        <w:spacing w:after="0" w:line="240" w:lineRule="auto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93"/>
        <w:gridCol w:w="1242"/>
        <w:gridCol w:w="626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Уровень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Минимальный балл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Максимальный балл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9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Критерии к баллу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Базовый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9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Задание с выбором одного правильного ответа из нескольких предложенных оценивается 1 баллом при правильном выборе и 0 баллов при неправильном выборе или отсутствии выбранного ответа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Повышенный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8, 9 задания – 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задание - 3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9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Задания с кратким ответом: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 О</w:t>
            </w:r>
            <w:r>
              <w:rPr>
                <w:rStyle w:val="860"/>
                <w:rFonts w:ascii="Liberation Serif" w:hAnsi="Liberation Serif" w:cs="Liberation Serif"/>
                <w:sz w:val="20"/>
                <w:szCs w:val="20"/>
              </w:rPr>
              <w:t xml:space="preserve">цениваются в 2 балла, если дано верное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числовое значение искомой физической величины и указана ее единица измерения, устно пояснено решение и используемые формулы.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Style w:val="860"/>
                <w:rFonts w:ascii="Liberation Serif" w:hAnsi="Liberation Serif" w:cs="Liberation Serif"/>
                <w:sz w:val="20"/>
                <w:szCs w:val="20"/>
              </w:rPr>
              <w:t xml:space="preserve">2. Оценивается в 1 балл, если правильно указан ответ и используемая формула, но нет пояснений к решению или ответ не верен, но ход рассуждений правильный.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Style w:val="860"/>
                <w:rFonts w:ascii="Liberation Serif" w:hAnsi="Liberation Serif" w:cs="Liberation Serif"/>
                <w:sz w:val="20"/>
                <w:szCs w:val="20"/>
              </w:rPr>
              <w:t xml:space="preserve">3. В 0 баллов, если дан неверный ответ и нет пояснений к решению.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Задание с развернутым ответом: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Приведено полное правильное решение, включающее следующие элементы: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Верно записано краткое условие задачи; записаны формулы, применение которых необходимо и дост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аточно для решения задачи выбранным способом; выполнены необходимые математические преобразования и расчёты, приводящие к правильному числовому ответу, и представлен ответ. При этом допускается решение «по частям» (с промежуточными вычислениями) - 3 балла.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Правильно записаны необходимые формулы, проведены вычисления, и получен ответ (верный или неверный), но допущена ошибка в записи краткого условия или переводе единиц в СИ – 2 балла.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Представлено правильное решение только в общем виде, без каких- либо числовых расчётов – 1 балл.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Решение не представлено – 0 баллов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63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Критерии перевода количества баллов, набранных в результате выполнения заданий контрольно-измерительных материалов в отметку по пятибалльной шкале: 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0" w:type="dxa"/>
        <w:tblLayout w:type="fixed"/>
        <w:tblCellMar>
          <w:top w:w="53" w:type="dxa"/>
          <w:right w:w="115" w:type="dxa"/>
          <w:bottom w:w="5" w:type="dxa"/>
        </w:tblCellMar>
        <w:tblLook w:val="04A0" w:firstRow="1" w:lastRow="0" w:firstColumn="1" w:lastColumn="0" w:noHBand="0" w:noVBand="1"/>
      </w:tblPr>
      <w:tblGrid>
        <w:gridCol w:w="2693"/>
        <w:gridCol w:w="7512"/>
      </w:tblGrid>
      <w:tr>
        <w:trPr>
          <w:trHeight w:val="3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Количество баллов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 49% (менее 7 баллов)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50-69% (7 - 9 баллов)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70-89% (10 - 12 баллов)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6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90-100% (13 баллов и более)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6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0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 w:default="1">
    <w:name w:val="Normal"/>
    <w:qFormat/>
  </w:style>
  <w:style w:type="paragraph" w:styleId="660">
    <w:name w:val="Heading 1"/>
    <w:basedOn w:val="659"/>
    <w:next w:val="659"/>
    <w:link w:val="68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1">
    <w:name w:val="Heading 2"/>
    <w:basedOn w:val="659"/>
    <w:next w:val="659"/>
    <w:link w:val="69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2">
    <w:name w:val="Heading 3"/>
    <w:basedOn w:val="659"/>
    <w:next w:val="659"/>
    <w:link w:val="69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3">
    <w:name w:val="Heading 4"/>
    <w:basedOn w:val="659"/>
    <w:next w:val="659"/>
    <w:link w:val="69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659"/>
    <w:next w:val="659"/>
    <w:link w:val="69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659"/>
    <w:next w:val="659"/>
    <w:link w:val="69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6">
    <w:name w:val="Heading 7"/>
    <w:basedOn w:val="659"/>
    <w:next w:val="659"/>
    <w:link w:val="6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7">
    <w:name w:val="Heading 8"/>
    <w:basedOn w:val="659"/>
    <w:next w:val="659"/>
    <w:link w:val="69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8">
    <w:name w:val="Heading 9"/>
    <w:basedOn w:val="659"/>
    <w:next w:val="659"/>
    <w:link w:val="69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character" w:styleId="672" w:customStyle="1">
    <w:name w:val="Heading 1 Char"/>
    <w:basedOn w:val="669"/>
    <w:uiPriority w:val="9"/>
    <w:rPr>
      <w:rFonts w:ascii="Arial" w:hAnsi="Arial" w:eastAsia="Arial" w:cs="Arial"/>
      <w:sz w:val="40"/>
      <w:szCs w:val="40"/>
    </w:rPr>
  </w:style>
  <w:style w:type="character" w:styleId="673" w:customStyle="1">
    <w:name w:val="Heading 2 Char"/>
    <w:basedOn w:val="669"/>
    <w:uiPriority w:val="9"/>
    <w:rPr>
      <w:rFonts w:ascii="Arial" w:hAnsi="Arial" w:eastAsia="Arial" w:cs="Arial"/>
      <w:sz w:val="34"/>
    </w:rPr>
  </w:style>
  <w:style w:type="character" w:styleId="674" w:customStyle="1">
    <w:name w:val="Heading 3 Char"/>
    <w:basedOn w:val="669"/>
    <w:uiPriority w:val="9"/>
    <w:rPr>
      <w:rFonts w:ascii="Arial" w:hAnsi="Arial" w:eastAsia="Arial" w:cs="Arial"/>
      <w:sz w:val="30"/>
      <w:szCs w:val="30"/>
    </w:rPr>
  </w:style>
  <w:style w:type="character" w:styleId="675" w:customStyle="1">
    <w:name w:val="Heading 4 Char"/>
    <w:basedOn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676" w:customStyle="1">
    <w:name w:val="Heading 5 Char"/>
    <w:basedOn w:val="669"/>
    <w:uiPriority w:val="9"/>
    <w:rPr>
      <w:rFonts w:ascii="Arial" w:hAnsi="Arial" w:eastAsia="Arial" w:cs="Arial"/>
      <w:b/>
      <w:bCs/>
      <w:sz w:val="24"/>
      <w:szCs w:val="24"/>
    </w:rPr>
  </w:style>
  <w:style w:type="character" w:styleId="677" w:customStyle="1">
    <w:name w:val="Heading 6 Char"/>
    <w:basedOn w:val="669"/>
    <w:uiPriority w:val="9"/>
    <w:rPr>
      <w:rFonts w:ascii="Arial" w:hAnsi="Arial" w:eastAsia="Arial" w:cs="Arial"/>
      <w:b/>
      <w:bCs/>
      <w:sz w:val="22"/>
      <w:szCs w:val="22"/>
    </w:rPr>
  </w:style>
  <w:style w:type="character" w:styleId="678" w:customStyle="1">
    <w:name w:val="Heading 7 Char"/>
    <w:basedOn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 w:customStyle="1">
    <w:name w:val="Heading 8 Char"/>
    <w:basedOn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680" w:customStyle="1">
    <w:name w:val="Heading 9 Char"/>
    <w:basedOn w:val="669"/>
    <w:uiPriority w:val="9"/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Title Char"/>
    <w:basedOn w:val="669"/>
    <w:uiPriority w:val="10"/>
    <w:rPr>
      <w:sz w:val="48"/>
      <w:szCs w:val="48"/>
    </w:rPr>
  </w:style>
  <w:style w:type="character" w:styleId="682" w:customStyle="1">
    <w:name w:val="Subtitle Char"/>
    <w:basedOn w:val="669"/>
    <w:uiPriority w:val="11"/>
    <w:rPr>
      <w:sz w:val="24"/>
      <w:szCs w:val="24"/>
    </w:rPr>
  </w:style>
  <w:style w:type="character" w:styleId="683" w:customStyle="1">
    <w:name w:val="Quote Char"/>
    <w:uiPriority w:val="29"/>
    <w:rPr>
      <w:i/>
    </w:rPr>
  </w:style>
  <w:style w:type="character" w:styleId="684" w:customStyle="1">
    <w:name w:val="Intense Quote Char"/>
    <w:uiPriority w:val="30"/>
    <w:rPr>
      <w:i/>
    </w:rPr>
  </w:style>
  <w:style w:type="character" w:styleId="685" w:customStyle="1">
    <w:name w:val="Header Char"/>
    <w:basedOn w:val="669"/>
    <w:uiPriority w:val="99"/>
  </w:style>
  <w:style w:type="character" w:styleId="686" w:customStyle="1">
    <w:name w:val="Caption Char"/>
    <w:uiPriority w:val="99"/>
  </w:style>
  <w:style w:type="character" w:styleId="687" w:customStyle="1">
    <w:name w:val="Footnote Text Char"/>
    <w:uiPriority w:val="99"/>
    <w:rPr>
      <w:sz w:val="18"/>
    </w:rPr>
  </w:style>
  <w:style w:type="character" w:styleId="688" w:customStyle="1">
    <w:name w:val="Endnote Text Char"/>
    <w:uiPriority w:val="99"/>
    <w:rPr>
      <w:sz w:val="20"/>
    </w:rPr>
  </w:style>
  <w:style w:type="character" w:styleId="689" w:customStyle="1">
    <w:name w:val="Заголовок 1 Знак"/>
    <w:link w:val="660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Заголовок 2 Знак"/>
    <w:link w:val="661"/>
    <w:uiPriority w:val="9"/>
    <w:rPr>
      <w:rFonts w:ascii="Arial" w:hAnsi="Arial" w:eastAsia="Arial" w:cs="Arial"/>
      <w:sz w:val="34"/>
    </w:rPr>
  </w:style>
  <w:style w:type="character" w:styleId="691" w:customStyle="1">
    <w:name w:val="Заголовок 3 Знак"/>
    <w:link w:val="662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Заголовок 4 Знак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Заголовок 5 Знак"/>
    <w:link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Заголовок 6 Знак"/>
    <w:link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Заголовок 7 Знак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Заголовок 8 Знак"/>
    <w:link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Заголовок 9 Знак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Title"/>
    <w:basedOn w:val="659"/>
    <w:next w:val="659"/>
    <w:link w:val="699"/>
    <w:uiPriority w:val="10"/>
    <w:qFormat/>
    <w:pPr>
      <w:contextualSpacing/>
      <w:spacing w:before="300"/>
    </w:pPr>
    <w:rPr>
      <w:sz w:val="48"/>
      <w:szCs w:val="48"/>
    </w:rPr>
  </w:style>
  <w:style w:type="character" w:styleId="699" w:customStyle="1">
    <w:name w:val="Заголовок Знак"/>
    <w:link w:val="698"/>
    <w:uiPriority w:val="10"/>
    <w:rPr>
      <w:sz w:val="48"/>
      <w:szCs w:val="48"/>
    </w:rPr>
  </w:style>
  <w:style w:type="paragraph" w:styleId="700">
    <w:name w:val="Subtitle"/>
    <w:basedOn w:val="659"/>
    <w:next w:val="659"/>
    <w:link w:val="701"/>
    <w:uiPriority w:val="11"/>
    <w:qFormat/>
    <w:pPr>
      <w:spacing w:before="200"/>
    </w:pPr>
    <w:rPr>
      <w:sz w:val="24"/>
      <w:szCs w:val="24"/>
    </w:rPr>
  </w:style>
  <w:style w:type="character" w:styleId="701" w:customStyle="1">
    <w:name w:val="Подзаголовок Знак"/>
    <w:link w:val="700"/>
    <w:uiPriority w:val="11"/>
    <w:rPr>
      <w:sz w:val="24"/>
      <w:szCs w:val="24"/>
    </w:rPr>
  </w:style>
  <w:style w:type="paragraph" w:styleId="702">
    <w:name w:val="Quote"/>
    <w:basedOn w:val="659"/>
    <w:next w:val="659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59"/>
    <w:next w:val="659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>
    <w:name w:val="Header"/>
    <w:basedOn w:val="65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Верхний колонтитул Знак"/>
    <w:link w:val="706"/>
    <w:uiPriority w:val="99"/>
  </w:style>
  <w:style w:type="paragraph" w:styleId="708">
    <w:name w:val="Footer"/>
    <w:basedOn w:val="659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uiPriority w:val="99"/>
  </w:style>
  <w:style w:type="paragraph" w:styleId="710">
    <w:name w:val="Caption"/>
    <w:basedOn w:val="659"/>
    <w:next w:val="659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1" w:customStyle="1">
    <w:name w:val="Нижний колонтитул Знак"/>
    <w:link w:val="708"/>
    <w:uiPriority w:val="99"/>
  </w:style>
  <w:style w:type="table" w:styleId="712">
    <w:name w:val="Table Grid"/>
    <w:basedOn w:val="67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3" w:customStyle="1">
    <w:name w:val="Table Grid Light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4">
    <w:name w:val="Plain Table 1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6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 w:customStyle="1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2" w:customStyle="1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3" w:customStyle="1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4" w:customStyle="1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5" w:customStyle="1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6" w:customStyle="1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7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4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5" w:customStyle="1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6" w:customStyle="1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7" w:customStyle="1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8" w:customStyle="1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9" w:customStyle="1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 w:customStyle="1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3" w:customStyle="1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5" w:customStyle="1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6" w:customStyle="1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7" w:customStyle="1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4" w:customStyle="1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5" w:customStyle="1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6" w:customStyle="1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7" w:customStyle="1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8" w:customStyle="1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9" w:customStyle="1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0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9" w:customStyle="1">
    <w:name w:val="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0" w:customStyle="1">
    <w:name w:val="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1" w:customStyle="1">
    <w:name w:val="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2" w:customStyle="1">
    <w:name w:val="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3" w:customStyle="1">
    <w:name w:val="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4" w:customStyle="1">
    <w:name w:val="Bordered &amp; 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Bordered &amp; 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6" w:customStyle="1">
    <w:name w:val="Bordered &amp; 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7" w:customStyle="1">
    <w:name w:val="Bordered &amp; 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8" w:customStyle="1">
    <w:name w:val="Bordered &amp; 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9" w:customStyle="1">
    <w:name w:val="Bordered &amp; 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0" w:customStyle="1">
    <w:name w:val="Bordered &amp; 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1" w:customStyle="1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2" w:customStyle="1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3" w:customStyle="1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4" w:customStyle="1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5" w:customStyle="1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6" w:customStyle="1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7" w:customStyle="1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563c1" w:themeColor="hyperlink"/>
      <w:u w:val="single"/>
    </w:rPr>
  </w:style>
  <w:style w:type="paragraph" w:styleId="839">
    <w:name w:val="footnote text"/>
    <w:basedOn w:val="659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 w:customStyle="1">
    <w:name w:val="Текст сноски Знак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659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 w:customStyle="1">
    <w:name w:val="Текст концевой сноски Знак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659"/>
    <w:next w:val="659"/>
    <w:uiPriority w:val="39"/>
    <w:unhideWhenUsed/>
    <w:pPr>
      <w:spacing w:after="57"/>
    </w:pPr>
  </w:style>
  <w:style w:type="paragraph" w:styleId="846">
    <w:name w:val="toc 2"/>
    <w:basedOn w:val="659"/>
    <w:next w:val="659"/>
    <w:uiPriority w:val="39"/>
    <w:unhideWhenUsed/>
    <w:pPr>
      <w:ind w:left="283"/>
      <w:spacing w:after="57"/>
    </w:pPr>
  </w:style>
  <w:style w:type="paragraph" w:styleId="847">
    <w:name w:val="toc 3"/>
    <w:basedOn w:val="659"/>
    <w:next w:val="659"/>
    <w:uiPriority w:val="39"/>
    <w:unhideWhenUsed/>
    <w:pPr>
      <w:ind w:left="567"/>
      <w:spacing w:after="57"/>
    </w:pPr>
  </w:style>
  <w:style w:type="paragraph" w:styleId="848">
    <w:name w:val="toc 4"/>
    <w:basedOn w:val="659"/>
    <w:next w:val="659"/>
    <w:uiPriority w:val="39"/>
    <w:unhideWhenUsed/>
    <w:pPr>
      <w:ind w:left="850"/>
      <w:spacing w:after="57"/>
    </w:pPr>
  </w:style>
  <w:style w:type="paragraph" w:styleId="849">
    <w:name w:val="toc 5"/>
    <w:basedOn w:val="659"/>
    <w:next w:val="659"/>
    <w:uiPriority w:val="39"/>
    <w:unhideWhenUsed/>
    <w:pPr>
      <w:ind w:left="1134"/>
      <w:spacing w:after="57"/>
    </w:pPr>
  </w:style>
  <w:style w:type="paragraph" w:styleId="850">
    <w:name w:val="toc 6"/>
    <w:basedOn w:val="659"/>
    <w:next w:val="659"/>
    <w:uiPriority w:val="39"/>
    <w:unhideWhenUsed/>
    <w:pPr>
      <w:ind w:left="1417"/>
      <w:spacing w:after="57"/>
    </w:pPr>
  </w:style>
  <w:style w:type="paragraph" w:styleId="851">
    <w:name w:val="toc 7"/>
    <w:basedOn w:val="659"/>
    <w:next w:val="659"/>
    <w:uiPriority w:val="39"/>
    <w:unhideWhenUsed/>
    <w:pPr>
      <w:ind w:left="1701"/>
      <w:spacing w:after="57"/>
    </w:pPr>
  </w:style>
  <w:style w:type="paragraph" w:styleId="852">
    <w:name w:val="toc 8"/>
    <w:basedOn w:val="659"/>
    <w:next w:val="659"/>
    <w:uiPriority w:val="39"/>
    <w:unhideWhenUsed/>
    <w:pPr>
      <w:ind w:left="1984"/>
      <w:spacing w:after="57"/>
    </w:pPr>
  </w:style>
  <w:style w:type="paragraph" w:styleId="853">
    <w:name w:val="toc 9"/>
    <w:basedOn w:val="659"/>
    <w:next w:val="659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659"/>
    <w:next w:val="659"/>
    <w:uiPriority w:val="99"/>
    <w:unhideWhenUsed/>
    <w:pPr>
      <w:spacing w:after="0"/>
    </w:pPr>
  </w:style>
  <w:style w:type="paragraph" w:styleId="856">
    <w:name w:val="No Spacing"/>
    <w:basedOn w:val="659"/>
    <w:uiPriority w:val="1"/>
    <w:qFormat/>
    <w:pPr>
      <w:spacing w:after="0" w:line="240" w:lineRule="auto"/>
    </w:pPr>
  </w:style>
  <w:style w:type="paragraph" w:styleId="857">
    <w:name w:val="List Paragraph"/>
    <w:basedOn w:val="659"/>
    <w:uiPriority w:val="34"/>
    <w:qFormat/>
    <w:pPr>
      <w:contextualSpacing/>
      <w:ind w:left="720"/>
    </w:pPr>
  </w:style>
  <w:style w:type="paragraph" w:styleId="858" w:customStyle="1">
    <w:name w:val="Default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/>
      <w:color w:val="000000"/>
      <w:sz w:val="24"/>
      <w:szCs w:val="24"/>
    </w:rPr>
  </w:style>
  <w:style w:type="paragraph" w:styleId="859" w:customStyle="1">
    <w:name w:val="Без интервала1"/>
    <w:next w:val="661"/>
    <w:qFormat/>
    <w:pPr>
      <w:spacing w:after="0" w:line="100" w:lineRule="atLeast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sz w:val="24"/>
      <w:szCs w:val="24"/>
      <w:lang w:eastAsia="ru-RU" w:bidi="ru-RU"/>
    </w:rPr>
  </w:style>
  <w:style w:type="character" w:styleId="860" w:customStyle="1">
    <w:name w:val="c10"/>
  </w:style>
  <w:style w:type="paragraph" w:styleId="861" w:customStyle="1">
    <w:name w:val="WW-Базовый"/>
    <w:next w:val="662"/>
    <w:pPr>
      <w:spacing w:line="276" w:lineRule="atLeast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sz w:val="24"/>
      <w:szCs w:val="24"/>
      <w:lang w:eastAsia="ru-RU" w:bidi="ru-RU"/>
    </w:rPr>
  </w:style>
  <w:style w:type="paragraph" w:styleId="862" w:customStyle="1">
    <w:name w:val="Абзац списка1"/>
    <w:next w:val="660"/>
    <w:qFormat/>
    <w:pPr>
      <w:ind w:left="720"/>
      <w:spacing w:after="160" w:line="252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lang w:eastAsia="ar-SA"/>
    </w:rPr>
  </w:style>
  <w:style w:type="paragraph" w:styleId="863" w:customStyle="1">
    <w:name w:val="Основной текст1"/>
    <w:qFormat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created xsi:type="dcterms:W3CDTF">2024-05-29T22:23:00Z</dcterms:created>
  <dcterms:modified xsi:type="dcterms:W3CDTF">2024-06-04T08:31:18Z</dcterms:modified>
</cp:coreProperties>
</file>