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5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оценки планируемых предметных результатов ООП ООО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5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 учебному предмету «Информатика. Практикум»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4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 предметных результатов по учебному предмету «Информатика. Практикум»: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соответствует  п. 1.3. Основной образовательной программы основного общего образования ЦДО и  РПУП «Информатика. Практикум» для 5-9 классов; 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является Приложением к ООП ООО, конкретизирующим систему оценки по учебному предмету «Информатика. Практикум» в 5-9 классах;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разработана на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основе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«Системы оценки достижений планируемых предметных результатов освоения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учебного предмета «Информатика»: методические рекомендации/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Л.Л. Босова, Н.Н.Самылкина. – М.: ФГБНУ «Институт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стратегии развития образования», 2023».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5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52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льтатов по  предмету.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 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(познавательных, регулятив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5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Основные цели и характеристики системы оценивания содержатся в федеральном государственном образовательном стандарте основного общего образования. В документе указано, что система оценки достижения планируемых результатов освоения программы осно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вного общего образования должна: 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845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отражать содержание и критерии оценки, формы представления результатов оценочной деятельности;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45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обеспечивать комплексный подход к оц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енке результатов освоения программы основного общего образования, позволяющий осуществлять оценку предметных и метапредметных результатов;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45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и учет результатов использования разнообразных методов и форм обучения, взаимно дополняющих др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уг друга, в том числе проектов, практических,  исследовательских, творческих работ, самоанализа и самооценки, наблюдения;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45"/>
        <w:ind w:firstLine="708"/>
        <w:jc w:val="both"/>
        <w:spacing w:line="240" w:lineRule="auto"/>
        <w:tabs>
          <w:tab w:val="left" w:pos="993" w:leader="none"/>
        </w:tabs>
        <w:rPr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динамики учебных достижений обучающихся; обеспечивать возможность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олучения объективной информации о качестве подготовки обучающихся.</w:t>
      </w:r>
      <w:r>
        <w:rPr>
          <w:highlight w:val="none"/>
        </w:rPr>
      </w:r>
      <w:r>
        <w:rPr>
          <w:highlight w:val="none"/>
        </w:rPr>
      </w:r>
    </w:p>
    <w:p>
      <w:pPr>
        <w:pStyle w:val="845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Комплексный подход к оцениванию предполагает использование во взаимосвязи его разнообразных видов и форм. К видам внутришкольного оценивания предметных результатов освоения образовательных программ, развертываемых по периодам обучения, относятся: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Стартовая диагностика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представляет собой процедуру оценки готовности к обучению на данном уровне образования. Проводится администрацией образовательной организации в начале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каждого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класса и выступает как основа (точка отсчета) для оценки динамики образовательных достижений. Объектом оценки являются: структура мотивации,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Стартовая диагностика может проводиться также в начале к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аждого учебного года учителями с целью оценки готовности к изучению отдельных предметов при выборе обучающимся данного предмета. 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Текущий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ет собой процедуру оценки инди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видуального продвижени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я в освоении программы учебного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предмета. Текущая оценка может быть формиру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ющей, т.е. под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держивающей и направляю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щей усилия учащегося, и диагно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стической, способствующей выявле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нию и осознанию учителем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и учащимся существующих п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роблем в обучении. Объектом те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кущей оценки являются тем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атические планируемые результа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ты, этапы освоения которых зафиксированы в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тематическом планировании.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Ре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зультаты текущей оценки являются основой дл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я индивидуали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зации учебного процесса.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Тематический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ставляет собой процедуру оценки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уровня достижения тематиче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ских планируемых результатов по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предмету, которые фиксируются в учебных ме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тодических ком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плектах, рекомендованных Министерством просвещения РФ.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pStyle w:val="849"/>
        <w:ind w:firstLine="708"/>
        <w:jc w:val="both"/>
        <w:spacing w:line="240" w:lineRule="auto"/>
        <w:rPr>
          <w:rFonts w:ascii="Liberation Serif" w:hAnsi="Liberation Serif" w:cs="Liberation Serif"/>
          <w:b/>
          <w:color w:val="auto"/>
        </w:rPr>
      </w:pPr>
      <w:r>
        <w:rPr>
          <w:rFonts w:ascii="Liberation Serif" w:hAnsi="Liberation Serif" w:cs="Liberation Serif"/>
          <w:b/>
          <w:color w:val="auto"/>
        </w:rPr>
        <w:t xml:space="preserve">Промежуточная аттестация</w:t>
      </w:r>
      <w:r>
        <w:rPr>
          <w:rFonts w:ascii="Liberation Serif" w:hAnsi="Liberation Serif" w:cs="Liberation Serif"/>
          <w:b/>
          <w:color w:val="auto"/>
        </w:rPr>
      </w:r>
      <w:r>
        <w:rPr>
          <w:rFonts w:ascii="Liberation Serif" w:hAnsi="Liberation Serif" w:cs="Liberation Serif"/>
          <w:b/>
          <w:color w:val="auto"/>
        </w:rPr>
      </w:r>
    </w:p>
    <w:p>
      <w:pPr>
        <w:pStyle w:val="849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Освоение образовательной программы основного о</w:t>
      </w:r>
      <w:r>
        <w:rPr>
          <w:rFonts w:ascii="Liberation Serif" w:hAnsi="Liberation Serif" w:cs="Liberation Serif" w:eastAsiaTheme="minorEastAsia"/>
          <w:lang w:eastAsia="ru-RU"/>
        </w:rPr>
        <w:t xml:space="preserve">бщего образования, в том числе </w:t>
      </w:r>
      <w:r>
        <w:rPr>
          <w:rFonts w:ascii="Liberation Serif" w:hAnsi="Liberation Serif" w:cs="Liberation Serif" w:eastAsiaTheme="minorEastAsia"/>
          <w:lang w:eastAsia="ru-RU"/>
        </w:rPr>
        <w:t xml:space="preserve">отдельной части или всего объема учебного предмета образовате</w:t>
      </w:r>
      <w:r>
        <w:rPr>
          <w:rFonts w:ascii="Liberation Serif" w:hAnsi="Liberation Serif" w:cs="Liberation Serif" w:eastAsiaTheme="minorEastAsia"/>
          <w:lang w:eastAsia="ru-RU"/>
        </w:rPr>
        <w:t xml:space="preserve">льной программы, сопровождается</w:t>
      </w:r>
      <w:r>
        <w:rPr>
          <w:rFonts w:ascii="Liberation Serif" w:hAnsi="Liberation Serif" w:cs="Liberation Serif" w:eastAsiaTheme="minorEastAsia"/>
          <w:lang w:eastAsia="ru-RU"/>
        </w:rPr>
        <w:t xml:space="preserve"> промежуточной аттестацией учащихся, проводимой в формах, определенных учебным планом, в сроки, определенные календарным 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Согласно закону «Об образовании в Российской Федерации» образовательная организация в соответствии с определенными ею формами и установленным порядком проводит также промежуточную аттестацию обучающихся.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Итоговое оценивание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Происходит по результатам освоения РПУП «Информатика. Практикум»  за учебный год.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Формами предъявления обучающимися своих достижений служат устные ответы, письменные работы (самостоятельные работы, тестирование и другие). В систему внутришкольного оценивания входит также оценка практиче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ских работ, проектов, творческих работ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Компоненты оценивания предметных результатов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по «Информатика. Практикум»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Требования к предметным результатам на базовом уровне изучения информатики, зафиксированные во ФГОС ООО и соотнесенные с тематическими разделами содержания обучения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предмету, представлены в таблице.</w:t>
      </w:r>
      <w: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709"/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</w:rPr>
        <w:t xml:space="preserve"> Требования к базовому уровню изучения информатики (ФГОС ООО)</w:t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</w:p>
    <w:tbl>
      <w:tblPr>
        <w:tblStyle w:val="698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3402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№ п/п</w:t>
            </w:r>
            <w:r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Базовый уровень изучения информатики </w:t>
            </w:r>
            <w:r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Тематический раздел</w:t>
            </w:r>
            <w:r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владение основными понятиями: информация,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передача, хранение и обработка информации,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алгоритм, модель, цифровой продукт и их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использование для решения учебных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практических задач; умение оперировать 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единицами измерения информационного объема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скорости передачи данных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Теоретические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основы информатики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пояснять на примерах различия между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позиционными и непозиционными системами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счисления; записывать и сравнивать целые числа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от 0 до 1024 в различных позиционных системах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счисления с основаниями 2, 8, 16, выполнять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арифметические операции над ними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Теоретические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основы информатики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кодировать и декодировать сообщения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по заданным правилам; понимание основных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принципов кодирования информации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Теоретические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основы информатики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владение понятиями: высказывание, логическая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операция, логическое выражение;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записывать логические выражения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 использованием дизъюнкции, конъюнкции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отрицания, определять истинность логических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выражений, если известны значения истинности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входящих в него переменных, строить таблицы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истинности для логических выражений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Теоретические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основы информатики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развитие алгоритмического мышления как</w:t>
            </w:r>
            <w:r/>
          </w:p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необходимого условия профессиональной</w:t>
            </w:r>
            <w:r/>
          </w:p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деятельности в современном обществе;</w:t>
            </w:r>
            <w:r/>
          </w:p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понимание сущности алгоритма и его свойств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Алгоритмы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программирование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white"/>
              </w:rPr>
              <w:t xml:space="preserve">сформированность представлений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white"/>
              </w:rPr>
              <w:t xml:space="preserve"> о языке программирования Pascal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whit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Алгоритмы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программирование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сформированность представлений о назначении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основных компонентов компьютера;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использование различных программных систем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сервисов компьютера, программного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обеспечения; умение соотносить информацию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 характеристиках персонального компьютера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 решаемыми задачами; представление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об истории и тенденциях развития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информационных технологий, в том числе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глобальных сетей; владение умением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ориентироваться в иерархической структуре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  <w:p>
            <w:pPr>
              <w:jc w:val="both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файловой системы, работать с файловой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системой персонального компьютера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 использованием графического интерфейса,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 именно: создавать, копировать, перемещать,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переименовывать, удалять и архивировать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файлы и каталоги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владение умениями и навыками использования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информационных и коммуникационных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технологий для поиска, хранения, обработки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передачи и анализа различных видов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информации, навыками создания личного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информационного пространства; владение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умениями пользования цифровыми сервисами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государственных услуг, цифровыми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образовательными сервисами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выбирать способ представления данных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 соответствии с поставленной задачей (таблицы,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схемы, графики, диаграммы) с использованием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соответствующих программных средств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обработки данных; умение формализовать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структурировать информацию, используя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электронные таблицы для обработки, анализа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визуализации числовых данных, в том числе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 выделением диапазона таблицы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упорядочиванием (сортировкой) его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элементов; умение применять в электронных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таблицах формулы для расчетов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 использованием встроенных функций,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абсолютной, относительной, смешанной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адресации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Информационные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технологии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сформированность представлений о сферах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профессиональной деятельности, связанных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 информатикой, программированием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современными информационно-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коммуникационными технологиями,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основанными на достижениях науки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IT-отрасли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11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освоение и соблюдение требований безопасной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эксплуатации технических средств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информационно-коммуникационных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технологий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12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соблюдать сетевой этикет, базовые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нормы информационной этики и права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при работе с приложениями на любых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устройствах и в сети Интернет, выбирать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безопасные стратегии поведения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 сети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13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использовать различные средства защиты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от вредоносного программного обеспечения,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обеспечивать личную безопасность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при использовании ресурсов сети Интернет,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 том числе умение защищать персональную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информацию от несанкционированного доступа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его последствий (разглашения, подмены,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утраты данных) с учетом основных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технологических и социально-психологических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аспектов использования сети Интернет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(сетевая анонимность, цифровой след,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аутентичность субъектов и ресурсов, опасность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вредоносного кода)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highlight w:val="none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14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распознавать попытки и предупреждать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вовлечение себя и окружающих в деструктивные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криминальные формы сетевой активности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(в том числе кибербуллинг, фишинг)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highlight w:val="none"/>
              </w:rPr>
            </w:r>
          </w:p>
        </w:tc>
      </w:tr>
    </w:tbl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целом на базовом уровне речь идет, как правило, о формировании общих представлений об изучаемых понятиях и методах, о воспроизведении нескольких базовых алгоритмов, о практических навыках использования программного обеспечения.</w:t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pStyle w:val="849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Проверка и оценка достижения предметных результатов по информатике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</w:p>
    <w:p>
      <w:pPr>
        <w:pStyle w:val="845"/>
        <w:ind w:firstLine="0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Виды оценивания образовательных достижений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Система оценки достижения планируемых результатов РПУП «Информатика. Практикум» включает процедуры внутренней оценки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b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исходный уровень знаний и умений по информатике, его достаточность для освоения программы основного общего образования по информатике.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Как правило, для стартовой диагностики используют материалы по предмету за предыдущий год. Предварительное повторение перед стартовой диагностикой не проводи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тся. Таким образом, учитель получает возможность оценить уровень остаточных знаний по информатике или, возможно, их прирост из-за постоянного применения цифровых навыков в быту. Стартовая диагностика проводится в форме теста.</w:t>
        <w:br/>
        <w:t xml:space="preserve">           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  <w:t xml:space="preserve">При тестировании</w:t>
      </w:r>
      <w:r>
        <w:rPr>
          <w:rFonts w:ascii="Liberation Serif" w:hAnsi="Liberation Serif" w:cs="Liberation Serif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tbl>
      <w:tblPr>
        <w:tblStyle w:val="698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95% и более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«5»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75-94%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«4»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50-74%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«3»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Менее 50%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«2»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  <w:t xml:space="preserve">Уровень: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Повышенный 95% и более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Выше базового 75-94%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Базовый 50-74%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Ниже базового менее 50%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t xml:space="preserve">Текущее оценивание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Текущее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осуществляется в ходе образовательного процесса. Текущее оценивание встроено в образовательный процесс, поскольку можно оценивать любую активность обучающегося, которую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организует учитель на уроке для освоения теоретического содержания и формирования практических умений по предмету.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обучении информатике в целях текущего оценивания чаще всего используют устный опрос, тематическую проверку или практическую работу. Во всех видах оценивания предметных результатов по информатике предпочтение отдается тестовым формам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представления заданий из-за их компактного формата, возможности многократного использования и оперативности применения.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Устный опрос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позволяет актуализировать изученный материал, структурировать его и оценить качество усвоения. Его можно использовать для повторения, систематизации, закрепления материала. Он позволяет оперативно скорректировать неточности и ошибки, а также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азвивает коммуникативные навыки.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Устный опрос может использоваться на уроке многократно, после каждого нового блока темы.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u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u w:val="none"/>
        </w:rPr>
        <w:t xml:space="preserve">Для устных ответов определяются следующие критерии оценок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u w:val="none"/>
        </w:rPr>
        <w:t xml:space="preserve">:</w:t>
      </w:r>
      <w:r>
        <w:rPr>
          <w:rFonts w:ascii="Liberation Serif" w:hAnsi="Liberation Serif" w:cs="Liberation Serif"/>
          <w:sz w:val="24"/>
          <w:szCs w:val="24"/>
          <w:u w:val="none"/>
        </w:rPr>
      </w:r>
      <w:r>
        <w:rPr>
          <w:rFonts w:ascii="Liberation Serif" w:hAnsi="Liberation Serif" w:cs="Liberation Serif"/>
          <w:sz w:val="24"/>
          <w:szCs w:val="24"/>
          <w:u w:val="none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«5» выставляется, если ученик: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полно раскрыл содержание материала в объеме, предусмотренном программой;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правильно выполнил графическое изображение (по необходимости);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отвечал самостоятельно без наводящих вопросов учителя. Возможны одна-две неточности при освещении второстепенных вопросов или в выкладках, которые ученик легко исправил по замечанию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«4» выставляется, если: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ответ удовлетворяет в основном требованиям на оценку «5», но при этом имеет один из недостатков: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в изложении допущены небольшие пробелы, не исказившие логического и информационного содержания ответа;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допущены один-два недочета при освещении основного содержания ответа, исправленные по замечанию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допущены ошибка или более двух недочетов при освещении второстепенных вопросов или в выкладках, легко исправленные по замечанию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«3» выставляется, если: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ьзовании терминологии, чертежах, блок-схем и выкладках, исправленные после нескольких наводящих вопросов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при знании теоретического материала выявлена недостаточная сформированность основных умений и навыков.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«2» выставляется, если: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не раскрыто основное содержание учебного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обнаружено незнание или непонимание учеником большей или наиболее важной части учебного материала,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Тест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совокупность стандартизированных заданий, по результатам выполнения которых судят о знаниях, умениях и навыках испытуемого.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  <w:t xml:space="preserve">При тестировании</w:t>
      </w:r>
      <w:r>
        <w:rPr>
          <w:rFonts w:ascii="Liberation Serif" w:hAnsi="Liberation Serif" w:cs="Liberation Serif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tbl>
      <w:tblPr>
        <w:tblStyle w:val="698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95% и более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«5»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75-94%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«4»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50-74%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«3»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Менее 50%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«2»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  <w:t xml:space="preserve">Уровень: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Повышенный 95% и более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Выше базового 75-94%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Базовый 50-74%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Ниже базового менее 50%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Тестирование позволяет оперативно выявить пробелы в знаниях и умениях обучающихся и скорректировать их на начальном этапе изучения темы. Тестирование можно использовать для проверки теоретических знаний, вычислительных навыков и практических умений, а такж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 функциональной грамотности. Тесты можно использовать как текущем, так и итоговом оценивании предметных и метапредметных результатов.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Практическая работа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проводится на завершающем этапе изучения материала по отдельной теме, связанной с формированием навыков работы с различным программным обеспечением. По информатике практически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 работы выполняются с использованием соответствующего программного обеспечения, например, подготовка текстового или графического документа по шаблону, использование калькулятора или электронных таблиц для проведения расчетов и пр.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Чтобы выполнить практиче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скую работу, надо изучить среду и инструменты для работы. Поэтому в основной школе сначала используют практические упражнения. После этого ученикам предлагается практическая работа, состоящая из заданий на применение умений, отработанных при выполнении пра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ктических упражнений.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highlight w:val="none"/>
        </w:rPr>
      </w:pPr>
      <w:r>
        <w:rPr>
          <w:rFonts w:ascii="Liberation Serif" w:hAnsi="Liberation Serif" w:eastAsia="Liberation Serif" w:cs="Liberation Serif"/>
          <w:i/>
          <w:iCs/>
          <w:sz w:val="24"/>
          <w:szCs w:val="24"/>
        </w:rPr>
        <w:t xml:space="preserve">Практическое упражнение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кратковременная деятельность на отработку определенных навыков с использованием программного обеспечения. В условиях одночасового предмета оптимальное решение состоит в том, чтобы использовать кратковременные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практические упражнения на отработку отдельных навыков, а в конце изучения темы – проверить все освоенные навыки в практической работе. 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u w:val="single"/>
        </w:rPr>
        <w:t xml:space="preserve">Практическая работа на ПК оценивается следующим образом: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«5» ставится, если: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учащийся самостоятельно выполнил все этапы решения задач на ПК;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работа выполнена полностью и получен верный ответ или иное требуемое представление результата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«4» ставится, если: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работа выполнена полностью, но при выполнении обнаружилось недостаточное владение навыками работы с ПК в рамках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правильно выполнена большая часть работы (свыше 85 %);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работа выполнена полностью, но использованы наименее оптимальные подходы к решению поставленной задачи.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«3» ставится, если: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«2» ставится, если: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numPr>
          <w:ilvl w:val="0"/>
          <w:numId w:val="6"/>
        </w:numPr>
        <w:ind w:left="0" w:right="0" w:firstLine="0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Тематическое оценивание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Тематическое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направлено на выявление и оценку достижения образовательных результатов, связанных с изучением отдельных тем образовательной программы.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этом используются те же средства оценивания, что и в текущем оценивании.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Промежуточная аттестация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Промежуточная аттестация – процедура, предусмотренная законодательством во внутришкольном оценивании, по правилам, утвержденным образовательной организацией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.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Образовательная организация принимает порядок проведения промежуточной аттестации по предметам на разных уровнях образования.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Для проведения промежуточной аттестации используются задания КИМ размещенные на сайте ГОУ РК «РЦО»: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hyperlink r:id="rId9" w:tooltip="https://rcoedu.gosuslugi.ru/ofitsialno/dokumenty/dokumenty-all_669.html" w:history="1">
        <w:r>
          <w:rPr>
            <w:rStyle w:val="824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  <w:t xml:space="preserve">https://rcoedu.gosuslugi.ru/ofitsialno/dokumenty/dokumenty-all_669.html</w:t>
        </w:r>
        <w:r>
          <w:rPr>
            <w:rStyle w:val="824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</w:r>
        <w:r>
          <w:rPr>
            <w:rStyle w:val="824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</w:r>
      </w:hyperlink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«Информатика. Практикум»  за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истории;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Оценивание проектной деятельности обучающегося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Проектная работа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это творческая продуктивная деятельность обучающегося, направленная на достижение определенной цели, решение какой-либо проблемы. В проекте раскрываются способы и средства практической реализации замысла. Разработка и выполнение проекта 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оставляют проектную деятельность обучающегося.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42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Проект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pStyle w:val="842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«5»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ученик активно работает над проектом по своей теме, проявляет интерес к работе, самосто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тельно ставит цели, достигает их, умеет видеть свои затруднения и справляться с ними.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2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«4»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ученик активно работает над проектом по своей теме, проявляет интерес к работе, самосто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тельно  и  с помощью учителя ставит цели и  достигает их, самостоятельно умеет видеть свои 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труднения и справляться с ними в простых заданиях, в сложных-с помощью учителя, проявляет интерес к изучаемой теме.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2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«3»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(ставится в исключительных случаях) не справляется самостоятельно даже с простыми зад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2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  <w:t xml:space="preserve">«2» - 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white"/>
          <w:lang w:val="en-US"/>
        </w:rPr>
        <w:t xml:space="preserve">(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ставиться в исключительных случаях) если ученик отказывается выполнять задания. 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  <w:t xml:space="preserve">Ученик всегда должен иметь возмо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  <w:t xml:space="preserve">ж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  <w:t xml:space="preserve">ность получить положительную отметку.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2"/>
    <w:next w:val="842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2"/>
    <w:next w:val="842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2"/>
    <w:next w:val="842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8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9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0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1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2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3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5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6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7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8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9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0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qFormat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paragraph" w:styleId="845">
    <w:name w:val="No Spacing"/>
    <w:basedOn w:val="842"/>
    <w:uiPriority w:val="1"/>
    <w:qFormat/>
    <w:pPr>
      <w:spacing w:after="0" w:line="240" w:lineRule="auto"/>
    </w:pPr>
  </w:style>
  <w:style w:type="paragraph" w:styleId="846">
    <w:name w:val="List Paragraph"/>
    <w:basedOn w:val="842"/>
    <w:uiPriority w:val="34"/>
    <w:qFormat/>
    <w:pPr>
      <w:contextualSpacing/>
      <w:ind w:left="720"/>
    </w:pPr>
  </w:style>
  <w:style w:type="character" w:styleId="847" w:default="1">
    <w:name w:val="Default Paragraph Font"/>
    <w:uiPriority w:val="1"/>
    <w:semiHidden/>
    <w:unhideWhenUsed/>
  </w:style>
  <w:style w:type="character" w:styleId="848" w:customStyle="1">
    <w:name w:val="Strong"/>
    <w:qFormat/>
    <w:rPr>
      <w:b/>
      <w:bCs/>
    </w:rPr>
  </w:style>
  <w:style w:type="paragraph" w:styleId="849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50" w:customStyle="1">
    <w:name w:val="Без интервала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Arial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851" w:customStyle="1">
    <w:name w:val="Без интервала2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52" w:customStyle="1">
    <w:name w:val="Body 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coedu.gosuslugi.ru/ofitsialno/dokumenty/dokumenty-all_669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2024-06-03T06:36:58Z</dcterms:modified>
</cp:coreProperties>
</file>