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973947)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Программа по изобразительному искусству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 учебному предмету «Изобразительное искусство» (далее – ФРП «Изобразительное искусство»),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 также ориентирована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 изучения учебного предмета «Изобразительное искусство»</w:t>
      </w:r>
      <w:r>
        <w:rPr>
          <w:rFonts w:ascii="Liberation Serif" w:hAnsi="Liberation Serif" w:cs="Liberation Serif"/>
          <w:sz w:val="24"/>
          <w:szCs w:val="24"/>
        </w:rPr>
        <w:t xml:space="preserve"> состоит в формир</w:t>
      </w:r>
      <w:r>
        <w:rPr>
          <w:rFonts w:ascii="Liberation Serif" w:hAnsi="Liberation Serif" w:cs="Liberation Serif"/>
          <w:sz w:val="24"/>
          <w:szCs w:val="24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Важнейше</w:t>
      </w:r>
      <w:r>
        <w:rPr>
          <w:rFonts w:ascii="Liberation Serif" w:hAnsi="Liberation Serif" w:cs="Liberation Serif"/>
          <w:sz w:val="24"/>
          <w:szCs w:val="24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Учебные темы, связанные с восприятием, могут быть реализованы 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отдельные уроки, но чаще всего следует объединять задачи восприятия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задачами практической творческой работы (при сохранении учебного времени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на восприятие произведений искусства и эстетического наблюдения окружающей действительности).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«Изобразительное искусство»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МЕСТО УЧЕБНОГО ПРЕДМЕТА «ИЗОБРАЗИТЕЛЬНОЕ ИСКУССТВО»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«Изобразительное искусство» входит в предметную область «Искусство».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9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ведется в объеме 1 часа </w:t>
      </w:r>
      <w:r>
        <w:rPr>
          <w:rFonts w:ascii="Liberation Serif" w:hAnsi="Liberation Serif" w:cs="Liberation Serif"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sz w:val="24"/>
          <w:szCs w:val="24"/>
        </w:rPr>
        <w:t xml:space="preserve">, общее число часов, отведённых на изучение учебного предмета «Изобразительное искусство» - 135 часов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в 1 классе – </w:t>
      </w:r>
      <w:r>
        <w:rPr>
          <w:rFonts w:ascii="Liberation Serif" w:hAnsi="Liberation Serif" w:cs="Liberation Serif"/>
          <w:sz w:val="24"/>
          <w:szCs w:val="24"/>
        </w:rPr>
        <w:t xml:space="preserve">33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, во 2-4 классах по </w:t>
      </w:r>
      <w:r>
        <w:rPr>
          <w:rFonts w:ascii="Liberation Serif" w:hAnsi="Liberation Serif" w:cs="Liberation Serif"/>
          <w:sz w:val="24"/>
          <w:szCs w:val="24"/>
        </w:rPr>
        <w:t xml:space="preserve">34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а,</w:t>
      </w:r>
      <w:r>
        <w:rPr>
          <w:rFonts w:ascii="Liberation Serif" w:hAnsi="Liberation Serif" w:cs="Liberation Serif"/>
          <w:sz w:val="24"/>
          <w:szCs w:val="24"/>
        </w:rPr>
        <w:t xml:space="preserve">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0,2 часа в неделю на одного учащегося согласно учебному плану.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Содержание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обучения в 1 классе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Расположение изображения на листе. Выбор вертикального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горизонтального формата листа в зависимости от содержания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Разные виды линий. Линейный рисунок. Графические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особенности. Приёмы рисования линией.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натуры: разные листья и их форма.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пропорциях: короткое – длинное. Развитие – навыка видения соотношения частей целого (на основе рисунков животных).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белая.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Эмоциональная выразительность цвета, способы выражение настроения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изображаемом сюжете.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Техника монотипии. Представления о симметрии. Развитие воображения.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в объёме. Приёмы работы с пластилином; дощечка, стек, тряпочка.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Бумажная пластика. Овладение первичными приёмами надрезания, закручивания, складывания.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Объёмная аппликация из бумаги и картона.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в природе. Наблюдение узоров в живой природе (в условиях урока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в полосе.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Дизайн предмета: изготовление нарядной упаковки путём складывания бумаги и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Оригами – создание игрушки для новогодней ёлки. Приёмы складывания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разнообразных архитектурных зданий в окружающем мире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фотографиям), обсуждение особенностей и составных частей зданий.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вырезания деталей; использование приёма симметрии.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эстетической задачи наблюдения (установки).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 Васнецова, </w:t>
      </w:r>
      <w:r>
        <w:rPr>
          <w:rFonts w:ascii="Liberation Serif" w:hAnsi="Liberation Serif" w:cs="Liberation Serif"/>
          <w:sz w:val="24"/>
          <w:szCs w:val="24"/>
        </w:rPr>
        <w:br/>
        <w:t xml:space="preserve">М.А. Врубеля 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Ассоциации из личного опыта обучающихся и оценка эмоционального содержания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Фотографирование мелких деталей природы, выражение ярких зрительных впечатлений.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ние обучения во 2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линий. Выразительность линии. Художественные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свойства. Развитие навыков линейного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Пастель и мелки – особенности и выразительные свойства графических материалов, приёмы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Цвета основные и составные. Развитие навыков смешивания красок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получения нового цвета. Приёмы работы гуашью.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кистью. Пастозное, плотное и прозрачное нанесение краски.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Акварель и её свойства. Акварельные кисти. Приёмы работы акварелью.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тёплый и холодный – цветовой контраст.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открытый – звонкий и приглушённый, тихий.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природы (моря) в разных контрастных состояниях погоды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соответствующих цветовых состояниях (туман, нежное утро, гроза, буря, ветер – по выбору учителя). Произведения И.К. Айвазовского.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сказочного персонажа с ярко выраженным характером (образ мужской или женский).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или глины и</w:t>
      </w:r>
      <w:r>
        <w:rPr>
          <w:rFonts w:ascii="Liberation Serif" w:hAnsi="Liberation Serif" w:cs="Liberation Serif"/>
          <w:sz w:val="24"/>
          <w:szCs w:val="24"/>
        </w:rPr>
        <w:t xml:space="preserve"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узоров в природе (на основе фотографий в условиях урока), например, снежинки, паутинки, роса на листьях. Ассоциативное сопоставление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орнаментами в предметах декоративно-прикладного искусства (например, кружево, вышивка, ювелирные изделия).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</w:t>
      </w:r>
      <w:r>
        <w:rPr>
          <w:rFonts w:ascii="Liberation Serif" w:hAnsi="Liberation Serif" w:cs="Liberation Serif"/>
          <w:sz w:val="24"/>
          <w:szCs w:val="24"/>
        </w:rPr>
        <w:t xml:space="preserve">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И.И. Левитана, </w:t>
      </w:r>
      <w:r>
        <w:rPr>
          <w:rFonts w:ascii="Liberation Serif" w:hAnsi="Liberation Serif" w:cs="Liberation Serif"/>
          <w:sz w:val="24"/>
          <w:szCs w:val="24"/>
        </w:rPr>
        <w:t xml:space="preserve">И.И. Шишкина</w:t>
      </w:r>
      <w:r>
        <w:rPr>
          <w:rFonts w:ascii="Liberation Serif" w:hAnsi="Liberation Serif" w:cs="Liberation Serif"/>
          <w:sz w:val="24"/>
          <w:szCs w:val="24"/>
        </w:rPr>
        <w:t xml:space="preserve">, Н.П. Крымова.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характера движения, пластики.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Виды линий (в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Paint.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темы «Тёплый и холодный цвета» (например, «Горящий костёр в синей ночи», «Перо жар-птицы»).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3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плаката или афиши. Совмещение шрифта и изображения. Особенности композиции плаката.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 в городе. Рисунки реальных или фантастических машин.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лица человека. Строение, пропорции, взаиморасположение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сюжетной композиции «В цирке», использование гуаши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Пейзаж в живописи. Передача в пейзаже состояний в природе. Выбор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Liberation Serif" w:hAnsi="Liberation Serif" w:cs="Liberation Serif"/>
          <w:sz w:val="24"/>
          <w:szCs w:val="24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 видах скульптуры (по назначению) и жанрах скульптуры (по сюжету изображения).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эскиза парковой скульптуры. Выражение пластики движения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скульптуре. Работа с пластилином или глиной.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орнаментов для росписи тканей. Раппорт. Трафарет и создание орнамента при помощи печаток или штампов.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Liberation Serif" w:hAnsi="Liberation Serif" w:cs="Liberation Serif"/>
          <w:sz w:val="24"/>
          <w:szCs w:val="24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объектов окружающего мира – архитектура, улицы города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села. Памятники архитектуры и архитектурные достопримечательности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выбору учителя), их значение в современном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Виртуальное путешествие: памятники архитектуры в Москве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Санкт-Петербурге (обзор памятников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</w:t>
      </w:r>
      <w:r>
        <w:rPr>
          <w:rFonts w:ascii="Liberation Serif" w:hAnsi="Liberation Serif" w:cs="Liberation Serif"/>
          <w:sz w:val="24"/>
          <w:szCs w:val="24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Знания о видах пространственных искусств: виды определяются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произведений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художников-пейзажистов: И.И. Шишкина, И.И. Левитана, А.К. Саврасова, В.Д. Поленова, А.И. Куинджи, И.К. Айвазовского и других.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портретистов: В.И. Сурикова, И.Е. Репина, В.А. Серова и других.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различных по эмоцио</w:t>
      </w:r>
      <w:r>
        <w:rPr>
          <w:rFonts w:ascii="Liberation Serif" w:hAnsi="Liberation Serif" w:cs="Liberation Serif"/>
          <w:sz w:val="24"/>
          <w:szCs w:val="24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графическом редакт</w:t>
      </w:r>
      <w:r>
        <w:rPr>
          <w:rFonts w:ascii="Liberation Serif" w:hAnsi="Liberation Serif" w:cs="Liberation Serif"/>
          <w:sz w:val="24"/>
          <w:szCs w:val="24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изучение мимики лица 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путешествия в главные художественные музеи и музеи местные (по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4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стоящая фигуры.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изображение героев былин, древних легенд, сказок и сказаний разных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Портретные изображ</w:t>
      </w:r>
      <w:r>
        <w:rPr>
          <w:rFonts w:ascii="Liberation Serif" w:hAnsi="Liberation Serif" w:cs="Liberation Serif"/>
          <w:sz w:val="24"/>
          <w:szCs w:val="24"/>
        </w:rPr>
        <w:t xml:space="preserve">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Тематические многофигурные композиции: коллективно созданные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со скульптурными памятниками героям и мемориальными комплексами.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эскиза памятника народному герою. Работа с пластилином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глиной. Выражение значительности, трагизма и победительной силы.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</w:t>
      </w:r>
      <w:r>
        <w:rPr>
          <w:rFonts w:ascii="Liberation Serif" w:hAnsi="Liberation Serif" w:cs="Liberation Serif"/>
          <w:sz w:val="24"/>
          <w:szCs w:val="24"/>
        </w:rPr>
        <w:t xml:space="preserve">и изобразительных мотивов в орнаментах разных народов. Орнаменты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архитектуре, на тканях, одежде, предметах быта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Мотивы и назначение русских народных орнаментов. Деревянная резьба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роспись, украшение наличников и других элементов избы, вышивка, декор головных уборов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Народный костюм. Русский народный праздничный костюм, символы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Женский и мужской костюмы в традициях разных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Своеобразие одежды разных эпох и культур.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Деревянная изба, её конструкция и декор. Моделирование избы из бумаги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значения для современных людей сохранения культурного наследия.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Примеры произведений великих европейских художников: </w:t>
      </w:r>
      <w:r>
        <w:rPr>
          <w:rFonts w:ascii="Liberation Serif" w:hAnsi="Liberation Serif" w:cs="Liberation Serif"/>
          <w:sz w:val="24"/>
          <w:szCs w:val="24"/>
        </w:rPr>
        <w:br/>
        <w:t xml:space="preserve">Леонардо да Винчи, Рафаэля, Рембрандта, Пикассо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Памятники древнерусского </w:t>
      </w:r>
      <w:r>
        <w:rPr>
          <w:rFonts w:ascii="Liberation Serif" w:hAnsi="Liberation Serif" w:cs="Liberation Serif"/>
          <w:sz w:val="24"/>
          <w:szCs w:val="24"/>
        </w:rPr>
        <w:t xml:space="preserve">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культура разных эпох и народов. Представления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об архитектурных, декоративных и изобразительных произведени</w:t>
      </w:r>
      <w:r>
        <w:rPr>
          <w:rFonts w:ascii="Liberation Serif" w:hAnsi="Liberation Serif" w:cs="Liberation Serif"/>
          <w:sz w:val="24"/>
          <w:szCs w:val="24"/>
        </w:rPr>
        <w:t xml:space="preserve">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</w:t>
      </w:r>
      <w:r>
        <w:rPr>
          <w:rFonts w:ascii="Liberation Serif" w:hAnsi="Liberation Serif" w:cs="Liberation Serif"/>
          <w:sz w:val="24"/>
          <w:szCs w:val="24"/>
        </w:rPr>
        <w:t xml:space="preserve">мятники национальным героям. Памятник К. Минину и Д. Пожарскому скульптора И.П.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</w:t>
      </w:r>
      <w:r>
        <w:rPr>
          <w:rFonts w:ascii="Liberation Serif" w:hAnsi="Liberation Serif" w:cs="Liberation Serif"/>
          <w:sz w:val="24"/>
          <w:szCs w:val="24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с помощью геометрических фигур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тематические путешествия по художественным музеям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 РЕЗУЛЬТАТЫ ОСВОЕНИЯ ПРОГРАММЫ ПО ИЗОБРАЗИТЕЛЬНОМУ ИСКУССТВУ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861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уважения и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развитие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мотивацию к познанию и обучению, готовность к саморазвитию и активному участию в социально-значимой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позитивный опыт участия в творческой деятельности; интерес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Патриотическое воспитание осуществляется через освоение обучающимися содержания традиций отечественной культуры,</w:t>
      </w:r>
      <w:r>
        <w:rPr>
          <w:rFonts w:ascii="Liberation Serif" w:hAnsi="Liberation Serif" w:cs="Liberation Serif"/>
          <w:sz w:val="24"/>
          <w:szCs w:val="24"/>
        </w:rPr>
        <w:t xml:space="preserve">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мудрости, заложенных в культурных традициях.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>
        <w:rPr>
          <w:rFonts w:ascii="Liberation Serif" w:hAnsi="Liberation Serif" w:cs="Liberation Serif"/>
          <w:sz w:val="24"/>
          <w:szCs w:val="24"/>
        </w:rPr>
        <w:t xml:space="preserve">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</w:t>
      </w:r>
      <w:r>
        <w:rPr>
          <w:rFonts w:ascii="Liberation Serif" w:hAnsi="Liberation Serif" w:cs="Liberation Serif"/>
          <w:sz w:val="24"/>
          <w:szCs w:val="24"/>
        </w:rPr>
        <w:t xml:space="preserve">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воспитание – важнейший компонент и условие развития социально значимых отношений обучающихся, формирования представлений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о прекрасном и</w:t>
      </w:r>
      <w:r>
        <w:rPr>
          <w:rFonts w:ascii="Liberation Serif" w:hAnsi="Liberation Serif" w:cs="Liberation Serif"/>
          <w:sz w:val="24"/>
          <w:szCs w:val="24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>
        <w:rPr>
          <w:rFonts w:ascii="Liberation Serif" w:hAnsi="Liberation Serif" w:cs="Liberation Serif"/>
          <w:sz w:val="24"/>
          <w:szCs w:val="24"/>
        </w:rPr>
        <w:t xml:space="preserve"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Трудовое воспитание осуществляется в процессе личной художественно-творческой работы по освоению 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команде, выполнять коллективную работу – обязательные требования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определённым заданиям по программе.</w:t>
      </w:r>
      <w:bookmarkStart w:id="0" w:name="_Toc12426488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изобразит</w:t>
      </w:r>
      <w:r>
        <w:rPr>
          <w:rFonts w:ascii="Liberation Serif" w:hAnsi="Liberation Serif" w:cs="Liberation Serif"/>
          <w:sz w:val="24"/>
          <w:szCs w:val="24"/>
        </w:rPr>
        <w:t xml:space="preserve">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представления и сенсорные способности: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форму предмета,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доминантные черты (характерные особенности) в визуальном образе;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плоскостные и пространственные объекты по заданным основаниям;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ассоциативные связи между визуальными образами разных форм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части и целое в видимом образе, предмете,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пропорциональные отношения частей внутри целого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обобщать форму составной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ритмические отношения в пространстве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 изображении (визуальном образе) на установленных основаниях;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абстрагировать образ реальности при построении плоской композиции;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тональные отношения (тёмное – светлое) в пространственных и плоскостных объектах;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творческие экспериментальные действия в процессе самостоятельн</w:t>
      </w:r>
      <w:r>
        <w:rPr>
          <w:rFonts w:ascii="Liberation Serif" w:hAnsi="Liberation Serif" w:cs="Liberation Serif"/>
          <w:sz w:val="24"/>
          <w:szCs w:val="24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знаково-символические средства для составления орнаментов и декоративных композиций;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искусства по видам и, соответственно,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в жизни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использовать вопросы как исследовательский инструмент познания.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электронные образовательные ресурсы;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работать с электронными учебниками и учебными пособиями;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схемах;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по архитектурным памятникам,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и участвовать в дискуссии, проявляя уважительное отношение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</w:t>
      </w:r>
      <w:r>
        <w:rPr>
          <w:rFonts w:ascii="Liberation Serif" w:hAnsi="Liberation Serif" w:cs="Liberation Serif"/>
          <w:sz w:val="24"/>
          <w:szCs w:val="24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регулятивных универсальных учебных действий: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внимательно относиться и выполнять учебные задачи, поставленные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последовательность учебных действий при выполнении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Toc124264882"/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применения свойств простых графических материалов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самостоятельной творческой работе в условиях урока.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рисунка простого (плоского) предмета с натуры.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анализировать соотношения пропорций, визуально сравнивать пространственные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первичные знания и навыки композиционного расположения изображения на листе.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выбирать вертикальный или горизонтальный формат листа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выполнения соответствующих задач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красками «гуашь» в условиях урока.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три основных цвета; обсуждать и называть ассоциативные представления, которые рождает каждый цвет.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творческую работу на заданную тему с опорой на зрительные впечатления, организованные педагогом.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первичными навыками бумагопластики – создания объёмных форм из бумаги путём её складывания, надрезания, закручивания.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виды орнаментов по изобразительным мотивам: растительные, геометрические, анималистические.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использовать правила симметрии в своей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знания о значении и назначении украшений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</w:t>
      </w:r>
      <w:r>
        <w:rPr>
          <w:rFonts w:ascii="Liberation Serif" w:hAnsi="Liberation Serif" w:cs="Liberation Serif"/>
          <w:sz w:val="24"/>
          <w:szCs w:val="24"/>
        </w:rPr>
        <w:t xml:space="preserve">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опыт и соответствующие возрасту навыки подготовки и оформления общего праздника.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конструирования из бумаги, складывания объёмных простых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конструктивной основе любого предмета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первичные навыки анализа его строения.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 восприятия и аналитического наблюдения архитектурных построек.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</w:t>
      </w:r>
      <w:r>
        <w:rPr>
          <w:rFonts w:ascii="Liberation Serif" w:hAnsi="Liberation Serif" w:cs="Liberation Serif"/>
          <w:sz w:val="24"/>
          <w:szCs w:val="24"/>
        </w:rPr>
        <w:t xml:space="preserve">альных знаний; приобретать опыт восприятия картин со сказочным сюжетом (В.М. Васнецова, М.А. Врубеля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фотографий с целью эстетического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целенаправленного наблюдения природы.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" w:name="_TOC_250003"/>
      <w:r/>
      <w:bookmarkEnd w:id="2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навыки изображения на основе разной по характеру и способу наложения линии.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кистью, навыки создания выразительной фактуры и кроющие качества гуаши.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работы акварельной краской и понимать особенности работы прозрачной краской.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названия основных и составных цветов и способы получения разных оттенков составного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 делении цветов на тёплые и холодные; уметь различать и сравнивать тёплые и холодные оттенки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эмоциональную выразительность цвета: цвет звонкий и яркий, радостный; цвет мягкий, «глухой» и мрачный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</w:t>
      </w:r>
      <w:r>
        <w:rPr>
          <w:rFonts w:ascii="Liberation Serif" w:hAnsi="Liberation Serif" w:cs="Liberation Serif"/>
          <w:sz w:val="24"/>
          <w:szCs w:val="24"/>
        </w:rPr>
        <w:t xml:space="preserve">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об изменениях скульптурного образа при осмотре произведения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разных сторон.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</w:t>
      </w:r>
      <w:r>
        <w:rPr>
          <w:rFonts w:ascii="Liberation Serif" w:hAnsi="Liberation Serif" w:cs="Liberation Serif"/>
          <w:sz w:val="24"/>
          <w:szCs w:val="24"/>
        </w:rPr>
        <w:t xml:space="preserve">страторов (например, И.Я.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красками рисунков украшений народных былинных персонажей.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объёмных предметов из бумаги и объёмного декорирования предметов из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характеризовать конструкцию архитектурных строений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 в условиях урока), указывая составные части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их пропорциональные соотношения.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понимание образа здания, то есть его эмоционального воздействия.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</w:t>
      </w:r>
      <w:r>
        <w:rPr>
          <w:rFonts w:ascii="Liberation Serif" w:hAnsi="Liberation Serif" w:cs="Liberation Serif"/>
          <w:sz w:val="24"/>
          <w:szCs w:val="24"/>
        </w:rPr>
        <w:t xml:space="preserve">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и узнавать наиболее известные произведения художников И.И. Левитана, И.И. Шишкина, И.К. Айвазовского, В.М. Васнецова, В.В. Ватагина, Е.И. Чарушина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возможности изображения с помощью разных видов линий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 компьютерном редакторе (например, Paint) инструменты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3" w:name="_TOC_250002"/>
      <w:r/>
      <w:bookmarkEnd w:id="3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основные пропорции лица человека, взаимное 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рисования портрета (лица)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маску сказочного персонажа с ярко выраженным характером лица (для карнавала или спектакля).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живописной композиции (натюрморта)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наблюдению натуры 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творческой живописной работы – натюрморта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ярко выраженным настроением или «натюрморта-автопортрета».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Изображать красками портрет человека с опорой на натуру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пейзаж, передавая в нём активное состояние природы.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представление о деятельности художника в театре.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красками эскиз занавеса или эскиз декораций к выбранному сюжету.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работой художников по оформлению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лепки эскиза парковой скульптуры.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создании глиняной и деревянной посуды: народные художественные промыслы Гжель и Хохлома.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создания орнаментов при помощи штампов и трафаретов.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опыт создания композиции орнамента в квадрате (в качестве эскиза росписи женского платка).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Придумать и нарисовать (или выполнить в технике бумагопластики) транспортное средство.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творческий рисунок – создать образ своего города или села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участвовать в коллективной работе по созданию образа своего города или села (в виде коллажа).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обсуждать содержание работы художника, ценностно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Liberation Serif" w:hAnsi="Liberation Serif" w:cs="Liberation Serif"/>
          <w:sz w:val="24"/>
          <w:szCs w:val="24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</w:t>
      </w:r>
      <w:r>
        <w:rPr>
          <w:rFonts w:ascii="Liberation Serif" w:hAnsi="Liberation Serif" w:cs="Liberation Serif"/>
          <w:sz w:val="24"/>
          <w:szCs w:val="24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получаемые навыки для усвоения</w:t>
      </w:r>
      <w:r>
        <w:rPr>
          <w:rFonts w:ascii="Liberation Serif" w:hAnsi="Liberation Serif" w:cs="Liberation Serif"/>
          <w:sz w:val="24"/>
          <w:szCs w:val="24"/>
        </w:rPr>
        <w:t xml:space="preserve">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 помощью создания схемы лица человека его конструкцию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пропорции; осваивать с помощью графического редактора схематическое изменение мимики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соединения шрифта и векторного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создании, например, поздравительных открыток, афиши.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  <w:bookmarkStart w:id="4" w:name="_TOC_250001"/>
      <w:r/>
      <w:bookmarkEnd w:id="4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и применять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традиционных одеждах разных народов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зарисовки памятников отечественной и мировой архитектуры.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среднерусской природы).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представлению 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двойной портрет (например, портрет матери и ребёнка).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композиции на тему «Древнерусский город».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</w:t>
      </w:r>
      <w:r>
        <w:rPr>
          <w:rFonts w:ascii="Liberation Serif" w:hAnsi="Liberation Serif" w:cs="Liberation Serif"/>
          <w:sz w:val="24"/>
          <w:szCs w:val="24"/>
        </w:rPr>
        <w:t xml:space="preserve">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эскиза памятника выбранному герою или участие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Исследовать и делать зарисовки особен</w:t>
      </w:r>
      <w:r>
        <w:rPr>
          <w:rFonts w:ascii="Liberation Serif" w:hAnsi="Liberation Serif" w:cs="Liberation Serif"/>
          <w:sz w:val="24"/>
          <w:szCs w:val="24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Liberation Serif" w:hAnsi="Liberation Serif" w:cs="Liberation Serif"/>
          <w:sz w:val="24"/>
          <w:szCs w:val="24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знания, уметь объяснять и изображать традиц</w:t>
      </w:r>
      <w:r>
        <w:rPr>
          <w:rFonts w:ascii="Liberation Serif" w:hAnsi="Liberation Serif" w:cs="Liberation Serif"/>
          <w:sz w:val="24"/>
          <w:szCs w:val="24"/>
        </w:rPr>
        <w:t xml:space="preserve">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</w:t>
      </w:r>
      <w:r>
        <w:rPr>
          <w:rFonts w:ascii="Liberation Serif" w:hAnsi="Liberation Serif" w:cs="Liberation Serif"/>
          <w:sz w:val="24"/>
          <w:szCs w:val="24"/>
        </w:rPr>
        <w:t xml:space="preserve">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восприятие произведений искусства на темы истории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образные представления о каменном древнер</w:t>
      </w:r>
      <w:r>
        <w:rPr>
          <w:rFonts w:ascii="Liberation Serif" w:hAnsi="Liberation Serif" w:cs="Liberation Serif"/>
          <w:sz w:val="24"/>
          <w:szCs w:val="24"/>
        </w:rPr>
        <w:t xml:space="preserve">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соборы Московского Кремля, Софийский собор в Великом Новгороде, храм Покрова на Нерли.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называть и объяснять содержание памятника К. Минину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Д. Пожарскому скульптора И.П. Мартоса в Москве.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</w:t>
      </w:r>
      <w:r>
        <w:rPr>
          <w:rFonts w:ascii="Liberation Serif" w:hAnsi="Liberation Serif" w:cs="Liberation Serif"/>
          <w:sz w:val="24"/>
          <w:szCs w:val="24"/>
        </w:rPr>
        <w:t xml:space="preserve">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поисковую систему для знакомства с разными видами деревянного дома на основе избы и традициями и её украшений.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Построит</w:t>
      </w:r>
      <w:r>
        <w:rPr>
          <w:rFonts w:ascii="Liberation Serif" w:hAnsi="Liberation Serif" w:cs="Liberation Serif"/>
          <w:sz w:val="24"/>
          <w:szCs w:val="24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анимацию простого повторяющегося движения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виртуальном редакторе GIF-анимации.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и проводить компьютерные презентации в программе Po</w:t>
      </w:r>
      <w:r>
        <w:rPr>
          <w:rFonts w:ascii="Liberation Serif" w:hAnsi="Liberation Serif" w:cs="Liberation Serif"/>
          <w:sz w:val="24"/>
          <w:szCs w:val="24"/>
        </w:rPr>
        <w:t xml:space="preserve">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Совершать виртуальные тематические путешествия по художественным музеям мира.</w:t>
      </w:r>
      <w:bookmarkStart w:id="5" w:name="_TOC_250000"/>
      <w:r/>
      <w:bookmarkEnd w:id="5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- 33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украшаешь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0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строишь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учишься рисовать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33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украшаешь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строишь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учишься рисовать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и чем работает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Реальность и фантазия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чем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и чем работает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Реальность и фантазия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чем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28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9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в твоем доме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30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31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на улицах твоего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32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33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зрелище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34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35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музей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36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37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38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39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в твоем доме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40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41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на улицах твоего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42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43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зрелище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44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45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музей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46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47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48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Истоки 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0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города нашей земли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2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Каждый народ –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4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объединяет народы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6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7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(0,2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58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9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Истоки 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0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1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города нашей земли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2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3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Каждый народ –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4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5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объединяет народы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7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094273"/>
      <w:docPartObj>
        <w:docPartGallery w:val="Page Numbers (Bottom of Page)"/>
        <w:docPartUnique w:val="true"/>
      </w:docPartObj>
      <w:rPr/>
    </w:sdtPr>
    <w:sdtContent>
      <w:p>
        <w:pPr>
          <w:pStyle w:val="86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8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5"/>
    <w:next w:val="855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5"/>
    <w:next w:val="855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5"/>
    <w:next w:val="855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basedOn w:val="856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5"/>
    <w:next w:val="855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6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5"/>
    <w:next w:val="855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6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5"/>
    <w:next w:val="85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5"/>
    <w:next w:val="85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6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5"/>
    <w:next w:val="855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6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5"/>
    <w:next w:val="855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6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Title"/>
    <w:basedOn w:val="855"/>
    <w:next w:val="855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5"/>
    <w:next w:val="855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5"/>
    <w:next w:val="855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5"/>
    <w:next w:val="855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5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basedOn w:val="856"/>
    <w:link w:val="708"/>
    <w:uiPriority w:val="99"/>
  </w:style>
  <w:style w:type="character" w:styleId="710">
    <w:name w:val="Footer Char"/>
    <w:basedOn w:val="856"/>
    <w:link w:val="866"/>
    <w:uiPriority w:val="99"/>
  </w:style>
  <w:style w:type="paragraph" w:styleId="711">
    <w:name w:val="Caption"/>
    <w:basedOn w:val="855"/>
    <w:next w:val="8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66"/>
    <w:uiPriority w:val="99"/>
  </w:style>
  <w:style w:type="table" w:styleId="713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spacing w:after="160" w:line="259" w:lineRule="auto"/>
    </w:pPr>
    <w:rPr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Без интервала Знак"/>
    <w:basedOn w:val="856"/>
    <w:link w:val="860"/>
    <w:uiPriority w:val="1"/>
    <w:rPr>
      <w:rFonts w:ascii="Times New Roman" w:hAnsi="Times New Roman" w:cs="Times New Roman" w:eastAsiaTheme="minorEastAsia"/>
    </w:rPr>
  </w:style>
  <w:style w:type="paragraph" w:styleId="860">
    <w:name w:val="No Spacing"/>
    <w:link w:val="85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1">
    <w:name w:val="List Paragraph"/>
    <w:basedOn w:val="855"/>
    <w:link w:val="862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character" w:styleId="862" w:customStyle="1">
    <w:name w:val="Абзац списка Знак"/>
    <w:link w:val="861"/>
    <w:uiPriority w:val="34"/>
    <w:qFormat/>
    <w:rPr>
      <w:rFonts w:ascii="Calibri" w:hAnsi="Calibri" w:eastAsia="Calibri" w:cs="Times New Roman"/>
      <w:lang w:val="en-US"/>
    </w:rPr>
  </w:style>
  <w:style w:type="table" w:styleId="863">
    <w:name w:val="Table Grid"/>
    <w:basedOn w:val="8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4">
    <w:name w:val="Hyperlink"/>
    <w:basedOn w:val="856"/>
    <w:uiPriority w:val="99"/>
    <w:unhideWhenUsed/>
    <w:rPr>
      <w:color w:val="0000ff" w:themeColor="hyperlink"/>
      <w:u w:val="single"/>
    </w:rPr>
  </w:style>
  <w:style w:type="paragraph" w:styleId="865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866">
    <w:name w:val="Footer"/>
    <w:basedOn w:val="855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6"/>
    <w:link w:val="866"/>
    <w:uiPriority w:val="99"/>
    <w:rPr>
      <w:lang w:eastAsia="ru-RU"/>
    </w:rPr>
  </w:style>
  <w:style w:type="character" w:styleId="868">
    <w:name w:val="FollowedHyperlink"/>
    <w:basedOn w:val="856"/>
    <w:uiPriority w:val="99"/>
    <w:semiHidden/>
    <w:unhideWhenUsed/>
    <w:rPr>
      <w:color w:val="800080" w:themeColor="followedHyperlink"/>
      <w:u w:val="single"/>
    </w:rPr>
  </w:style>
  <w:style w:type="paragraph" w:styleId="869" w:customStyle="1">
    <w:name w:val="body"/>
    <w:basedOn w:val="855"/>
    <w:uiPriority w:val="99"/>
    <w:pPr>
      <w:ind w:firstLine="227"/>
      <w:jc w:val="both"/>
      <w:spacing w:after="0" w:line="240" w:lineRule="atLeast"/>
      <w:widowControl w:val="off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15" Type="http://schemas.openxmlformats.org/officeDocument/2006/relationships/hyperlink" Target="https://resh.edu.ru/subject/7/1/" TargetMode="External"/><Relationship Id="rId16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2/" TargetMode="External"/><Relationship Id="rId19" Type="http://schemas.openxmlformats.org/officeDocument/2006/relationships/hyperlink" Target="https://resh.edu.ru/subject/7/2/" TargetMode="External"/><Relationship Id="rId20" Type="http://schemas.openxmlformats.org/officeDocument/2006/relationships/hyperlink" Target="https://resh.edu.ru/subject/7/2/" TargetMode="External"/><Relationship Id="rId21" Type="http://schemas.openxmlformats.org/officeDocument/2006/relationships/hyperlink" Target="https://resh.edu.ru/subject/7/2/" TargetMode="External"/><Relationship Id="rId22" Type="http://schemas.openxmlformats.org/officeDocument/2006/relationships/hyperlink" Target="https://resh.edu.ru/subject/7/2/" TargetMode="External"/><Relationship Id="rId23" Type="http://schemas.openxmlformats.org/officeDocument/2006/relationships/hyperlink" Target="https://resh.edu.ru/subject/7/2/" TargetMode="External"/><Relationship Id="rId24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7/2/" TargetMode="External"/><Relationship Id="rId26" Type="http://schemas.openxmlformats.org/officeDocument/2006/relationships/hyperlink" Target="https://resh.edu.ru/subject/7/2/" TargetMode="External"/><Relationship Id="rId27" Type="http://schemas.openxmlformats.org/officeDocument/2006/relationships/hyperlink" Target="https://resh.edu.ru/subject/7/2/" TargetMode="External"/><Relationship Id="rId28" Type="http://schemas.openxmlformats.org/officeDocument/2006/relationships/hyperlink" Target="https://m.edsoo.ru/7f411892" TargetMode="External"/><Relationship Id="rId29" Type="http://schemas.openxmlformats.org/officeDocument/2006/relationships/hyperlink" Target="https://resh.edu.ru/subject/7/3/" TargetMode="External"/><Relationship Id="rId3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7/3/" TargetMode="External"/><Relationship Id="rId32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3/" TargetMode="External"/><Relationship Id="rId34" Type="http://schemas.openxmlformats.org/officeDocument/2006/relationships/hyperlink" Target="https://m.edsoo.ru/7f411892" TargetMode="External"/><Relationship Id="rId35" Type="http://schemas.openxmlformats.org/officeDocument/2006/relationships/hyperlink" Target="https://resh.edu.ru/subject/7/3/" TargetMode="External"/><Relationship Id="rId3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3/" TargetMode="External"/><Relationship Id="rId3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3/" TargetMode="External"/><Relationship Id="rId4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7/3/" TargetMode="External"/><Relationship Id="rId42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/subject/7/3/" TargetMode="External"/><Relationship Id="rId44" Type="http://schemas.openxmlformats.org/officeDocument/2006/relationships/hyperlink" Target="https://m.edsoo.ru/7f411892" TargetMode="External"/><Relationship Id="rId45" Type="http://schemas.openxmlformats.org/officeDocument/2006/relationships/hyperlink" Target="https://resh.edu.ru/subject/7/3/" TargetMode="External"/><Relationship Id="rId46" Type="http://schemas.openxmlformats.org/officeDocument/2006/relationships/hyperlink" Target="https://m.edsoo.ru/7f411892" TargetMode="External"/><Relationship Id="rId47" Type="http://schemas.openxmlformats.org/officeDocument/2006/relationships/hyperlink" Target="https://resh.edu.ru/subject/7/3/" TargetMode="External"/><Relationship Id="rId48" Type="http://schemas.openxmlformats.org/officeDocument/2006/relationships/hyperlink" Target="https://m.edsoo.ru/7f4129ea" TargetMode="External"/><Relationship Id="rId49" Type="http://schemas.openxmlformats.org/officeDocument/2006/relationships/hyperlink" Target="https://resh.edu.ru/subject/7/4/" TargetMode="External"/><Relationship Id="rId50" Type="http://schemas.openxmlformats.org/officeDocument/2006/relationships/hyperlink" Target="https://m.edsoo.ru/7f4129ea" TargetMode="External"/><Relationship Id="rId51" Type="http://schemas.openxmlformats.org/officeDocument/2006/relationships/hyperlink" Target="https://resh.edu.ru/subject/7/4/" TargetMode="External"/><Relationship Id="rId52" Type="http://schemas.openxmlformats.org/officeDocument/2006/relationships/hyperlink" Target="https://m.edsoo.ru/7f4129ea" TargetMode="External"/><Relationship Id="rId53" Type="http://schemas.openxmlformats.org/officeDocument/2006/relationships/hyperlink" Target="https://resh.edu.ru/subject/7/4/" TargetMode="External"/><Relationship Id="rId54" Type="http://schemas.openxmlformats.org/officeDocument/2006/relationships/hyperlink" Target="https://m.edsoo.ru/7f4129ea" TargetMode="External"/><Relationship Id="rId55" Type="http://schemas.openxmlformats.org/officeDocument/2006/relationships/hyperlink" Target="https://resh.edu.ru/subject/7/4/" TargetMode="External"/><Relationship Id="rId56" Type="http://schemas.openxmlformats.org/officeDocument/2006/relationships/hyperlink" Target="https://m.edsoo.ru/7f4129ea" TargetMode="External"/><Relationship Id="rId57" Type="http://schemas.openxmlformats.org/officeDocument/2006/relationships/hyperlink" Target="https://resh.edu.ru/subject/7/4/" TargetMode="External"/><Relationship Id="rId58" Type="http://schemas.openxmlformats.org/officeDocument/2006/relationships/hyperlink" Target="https://m.edsoo.ru/7f4129ea" TargetMode="External"/><Relationship Id="rId59" Type="http://schemas.openxmlformats.org/officeDocument/2006/relationships/hyperlink" Target="https://resh.edu.ru/subject/7/4/" TargetMode="External"/><Relationship Id="rId60" Type="http://schemas.openxmlformats.org/officeDocument/2006/relationships/hyperlink" Target="https://m.edsoo.ru/7f4129ea" TargetMode="External"/><Relationship Id="rId61" Type="http://schemas.openxmlformats.org/officeDocument/2006/relationships/hyperlink" Target="https://resh.edu.ru/subject/7/4/" TargetMode="External"/><Relationship Id="rId62" Type="http://schemas.openxmlformats.org/officeDocument/2006/relationships/hyperlink" Target="https://m.edsoo.ru/7f4129ea" TargetMode="External"/><Relationship Id="rId63" Type="http://schemas.openxmlformats.org/officeDocument/2006/relationships/hyperlink" Target="https://resh.edu.ru/subject/7/4/" TargetMode="External"/><Relationship Id="rId64" Type="http://schemas.openxmlformats.org/officeDocument/2006/relationships/hyperlink" Target="https://m.edsoo.ru/7f4129ea" TargetMode="External"/><Relationship Id="rId65" Type="http://schemas.openxmlformats.org/officeDocument/2006/relationships/hyperlink" Target="https://resh.edu.ru/subject/7/4/" TargetMode="External"/><Relationship Id="rId66" Type="http://schemas.openxmlformats.org/officeDocument/2006/relationships/hyperlink" Target="https://m.edsoo.ru/7f4129ea" TargetMode="External"/><Relationship Id="rId67" Type="http://schemas.openxmlformats.org/officeDocument/2006/relationships/hyperlink" Target="https://resh.edu.ru/subject/7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15</cp:revision>
  <dcterms:created xsi:type="dcterms:W3CDTF">2023-09-12T07:13:00Z</dcterms:created>
  <dcterms:modified xsi:type="dcterms:W3CDTF">2024-09-19T07:42:06Z</dcterms:modified>
</cp:coreProperties>
</file>