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5354540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Лозымский филиал ГОУ РК «РЦО»</w:t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pStyle w:val="892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>
          <w:trHeight w:val="112"/>
        </w:trPr>
        <w:tc>
          <w:tcPr>
            <w:tcW w:w="3284" w:type="dxa"/>
            <w:textDirection w:val="lrTb"/>
            <w:noWrap w:val="false"/>
          </w:tcPr>
          <w:p>
            <w:pPr>
              <w:pStyle w:val="89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Принята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11.06.202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2"/>
              <w:jc w:val="right"/>
              <w:spacing w:line="276" w:lineRule="auto"/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19.07.2024 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4"/>
                <w:szCs w:val="24"/>
              </w:rPr>
            </w:r>
          </w:p>
        </w:tc>
      </w:tr>
    </w:tbl>
    <w:p>
      <w:pPr>
        <w:pStyle w:val="892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754173)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«Биология»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10-11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0"/>
        <w:jc w:val="left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2" w:name="83ace5c0-f913-49d8-975d-9ddb35d71a16"/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bookmarkStart w:id="3" w:name="42db4f7f-2e59-42a2-8842-975d7f5699d1"/>
      <w:r>
        <w:rPr>
          <w:rFonts w:ascii="Liberation Serif" w:hAnsi="Liberation Serif" w:cs="Liberation Serif"/>
          <w:sz w:val="24"/>
          <w:szCs w:val="24"/>
          <w:lang w:val="ru-RU"/>
        </w:rPr>
        <w:t xml:space="preserve">2024</w:t>
      </w:r>
      <w:bookmarkEnd w:id="3"/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</w:p>
    <w:p>
      <w:pPr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535453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«Биология»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(далее РПУП)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среднего общего образования разработана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  <w:t xml:space="preserve">на основе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воспитания.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и её структура.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«Биология»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программе по биологи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(10–11 классы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информационных навыков, эстетической культуры, способствует интеграции биологических знаний с представлениями из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Структурирование содержания учебно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92"/>
        <w:ind w:firstLine="56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Цель изучения учебного предмета «Биология»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цели изучения учебного предмета «Биология» на базовом уровне обеспечивается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обучающимися системы знаний о биологических теориях, учениях, законах, закономерностях, гипотезах, правил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биологических знаний для повышения уровня экологической культуры, для формирования научного мировоззрения;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еализация рабочей программы учебного предмета «Биология»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 обучения –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ab/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ab/>
        <w:t xml:space="preserve">Место учебного предмета в учебном плане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erReference w:type="first" r:id="rId10"/>
          <w:footnotePr/>
          <w:endnotePr/>
          <w:type w:val="nextPage"/>
          <w:pgSz w:w="11906" w:h="16383" w:orient="portrait"/>
          <w:pgMar w:top="851" w:right="567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block-5354543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1. Биология как наука.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Ч. Дарвин, Г. Мендель, Н. К. Кольцов, Дж. Уотсон и Ф. Крик.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«Методы познания живой природы».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2. Живые системы и их организация.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Живые системы (биосистемы) как предмет изучения биологии. Отличие живых систем от неорганической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экосистемный (биогеоценотический), биосферный.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«Основные признаки жизни», «Уровни организации живой природы».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модель молекулы ДНК.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3. Химический состав и строение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Функции воды и минеральных веществ в клетке. Поддержание осмотического баланса.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Белки. Состав и строен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Углеводы: моносахариды (глюкоза, рибоза и дезоксирибоза), дисахариды (сахароза, лактоза) и полисахариды (крахмал, гликоген, целлюлоза). Биологические функции углеводов.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Цитология – наука о клетке. Клеточная теория – пример взаимодействия идей и фактов в научном познании. Методы изучения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Типы клеток: эукариотическая и прокариотическая. Особенности строения прокариотической клетки. Клеточная стенка бактерий. Строение эукариотической клетки. Основные отличия растительной, животной и грибной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Поверхностные структуры клеток – клеточная стенка, гликокаликс, их функции. Плазматическая мембрана, её свойства и функции. Цитоплазма и её органоиды.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Одномембранные органоиды клетки: ЭПС, апп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Включения.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Ядро – регуляторный центр клетки. Строение ядра: ядерная оболочка, кариоплазма, хроматин, ядрышко. Хромосомы.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Транспорт веществ в клетке.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А. Левенгук, Р. Гук, Т. Шванн, М. Шлейден, Р. Вирхов, Дж. Уотсон, Ф. Крик, М. Уилкинс, Р. Франклин, К. М. Бэр.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Диаграммы: «Распределение химических элементов в неживой природе», «Распределение химических элементов в живой природе».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лка», «Строение фермента», «Нуклеиновые кислоты. ДНК», «Строение молекулы АТФ», «Строение эукариотической клетки», «Строение животной клетки», «Строение растительной клетки», «Строение прокариотической клетки», «Строение ядра клетки», «Углеводы», «Липиды».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4. Жизнедеятельность клетки.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Типы обмена веществ: автотрофный и гетеротрофный. Роль ферментов в обмене веществ и превращении энергии в клетке.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Хемосинтез. Хемосинтезирующие бактерии. Значение хемосинтеза для жизни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Энергетический обм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Реакции матричного синт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Неклеточные формы жизни – вирусы. История открытия вирусов (Д. И. Ивановский). Особенности строения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интеграза. Профилактика распространения вирусных заболеваний.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Н. К. Кольцов, Д. И. Ивановский, К. А. Тимирязев.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«Типы питания», «Метаболизм»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модели-аппликации «Удвоение ДНК и транскрипция», «Биосинтез белка», «Строение клетки», модель структуры ДНК.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5. Размножение и индивидуальное развитие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Клеточный цикл, или жизненный цикл клетки. Интерфаза и митоз.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Деление клетки – митоз. Стадии митоза. Процессы, происходящие на разных стадиях митоза. Биологический смысл митоза.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Программируемая гибель клетки – апоптоз.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Половое размножение, его отличия от бесполого.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Гаметогенез – процесс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Индивидуальное развитие (онтогенез). Эмбриональное развитие (эмбриогенез). Этапы эмбриона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Рост и развитие растений. Онтогенез цветкового растения: строение семени, стадии развития.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6. Наследственность и изменчивость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 и задачи генетики. История развития генетики. Роль цитологии и эмбриоло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Дигибридное скрещивание. Закон независимого наследования признаков. Цитогенетические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Хромосомная теория наследственности. Генетические карты.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Изменчивость. Виды изменчивости: ненаследственная и наследстве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Свойства модификационной изменчивости.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Наследственная, или генотипическая, изменчивость. Комбинативная изменчивость. Мейо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Внеядерная наследственность и изменчивость.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Г. Мендель, Т. Морган, Г. де Фриз, С. С. Четвериков, Н. В. Тимофеев-Ресовский, Н. И. Вавилов.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«Моногибридное скрещивание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7. Селекция организмов. Основы биотехнологии.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полиплоидов. Достижения селекции растений, животных и микроорганизмов.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растений. Клонирование высокопродуктивных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сельскохозяйственных организмов. Экологические и этические проблемы. ГМО – генетически модифицированные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Н. И. Вавилов, И. В. Мичурин, Г. Д. Карпеченко, М. Ф. Иванов.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карта «Центры происхождения и многообразия культ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муляжи плодов и корнеплодов диких форм и культурных сортов растений, гербарий «Сельскохозяйственные растения».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1. Эволюционная биология.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Эмбриологические: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Синтетическая теория эволюции (СТЭ) и её основные положения.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Микроэволюция. Популяция как единица вида и эволюции.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Естественный отбор – направляющий фактор эволюции. Формы естественного отбора.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идио­адаптации.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 и видообразование. Критерии вида. Основные формы видообразования: географическое, экологическое.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Макроэволюция. Формы эволюции: филетическая, дивергентная, конвергентная, параллельная. Необратимость эволюции.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Происхождение от неспециализированных предков. Прогрессирующая специализация. Адаптивная радиация.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К. Линней, Ж. Б. Ламарк, Ч. Дарвин, В. О. Ковалевский, К. М. Бэр, Э. Геккель, Ф. Мюллер, А. Н. Северцов.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Биогеогра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2. Возникновение и развитие жизни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жизни на Земле по эрам и периодам. Катархей.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Мезозойская эра и её периоды: триасовый, юрский, меловой.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Кайнозойская эра и её периоды: палеогеновый, неогеновый, антропогеновый.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Система органического мира как отражение эволюции. Основные систематические группы организмов.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Человеческие 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Ф. Реди, Л. Пастер, А. И. Опарин, С. Миллер, Г. Юри, Ч. Дарвин.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муляжи «Происхождение чело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века» (бюсты австралопитека, питекантропа, неандертальца,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3. Организмы и окружающая среда.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Экология как наука. Задачи и разделы экологии. Методы экологических исследований. Экологическое мировоззрение современного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Среды обитания организмов: водная, наземно-воздушная, почвенная, внутриорганизменная.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Биотические факторы. Виды биотических 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А. Гумбольдт, К. Ф. Рулье, Э. Геккель.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 4. Сообщества и экологические системы.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консументы, редуценты. Круговорот веществ и поток энергии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саморегуляция, развитие. Сукцессия.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Природные экосистемы. Экосистемы озёр и рек. Экосистема хвойного или широколиственного леса.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Антропогенные экосистемы. Агроэкосистемы. Урбоэкосистемы. Биологическое и хозяйственное значение агроэкосистем и урбоэкосистем.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Биоразнообразие как фактор устойчивости экосистем. Сохранение биологического разнообразия на Земле.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Круговороты веществ и биогеохимические циклы элементов (углерода, азота). Зональность биосферы. Основные биомы суши.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Человечество в биосфере Земли. Антропогенные изменения в биосфере. Глобальные экологические проблемы.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Демонстрации: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Портреты: А. Дж. Тенсли, В. Н. Сукачёв, В. И. Вернадский.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Таблицы и схемы: «Пищевые цепи», «Биоценоз: состав и структура»,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«Агроценоз», «Примерные антропогенные воздействия на природу», «Важнейшие источники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загрязнения воздуха и грунтовых вод», «Почва – важнейшая составляющая биос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Оборудование: модель-аппликация «Типичные биоценозы», гербарий «Растительные сообщества», колл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851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6" w:name="block-5354544"/>
      <w:r/>
      <w:bookmarkEnd w:id="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 БИОЛОГИИ НА УРОВНЕ СРЕДНЕГО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структуре личностных результатов освоения предмета «Биология» выделены следующие составляющие: осознание обучающимися российской граж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предмета «Биология» достигаются в единстве учебной и воспитательной деяте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определять собственную позицию по отношению к явлениям современной жизни и объяснять её;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эмоционального воздействия живой природы и её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и реализация здорового и безопас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ценности правил индивидуального и коллективного безопасного поведения в ситуациях, угрожающих здоровью и жизни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последствий и неприятия вредных привычек (употребления алкоголя, наркотиков, курения);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экологически целесообразное отношение к природе как источнику жизни на Земле, основе её существования;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исп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наличие развитого эколог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8)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специфики биологии как нау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сущности методов познания, используемых в естественн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способность самостоятельно использовать биологические знания для решения проблем в реальных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мировоззренческие знания и универсальные учебные действия в познавательной и социальной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биологические понятия для объяснения фактов и явлений живой природы;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2)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формировать научный тип мышления, владеть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различных источниках информации (т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другое);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коммуникации во всех сферах жи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биологические знания для выявления проблем и их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_Toc138318760"/>
      <w:r/>
      <w:bookmarkStart w:id="8" w:name="_Toc134720971"/>
      <w:r/>
      <w:bookmarkEnd w:id="7"/>
      <w:r/>
      <w:bookmarkEnd w:id="8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знаний о месте и роли биологии в системе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раскрывать содержание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излагать биологические теории (клеточная, хромосомная, мутационная, центральная догма мол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екулярной биологии), законы (Г.Менделя, Т.Моргана, Н.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И. Вавилова)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учения (о центрах многообразия и происхождения культурных растений Н. И. Вавилова), определять границы их применимости к живым системам;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выделять существенные признаки вирусов, клеток прокариот и эукариот, одноклеточных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критически оценива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должны отражать: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знаний о месте и роли биологии в системе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раскрывать содержание биологических терминов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излагать биологические теории (эволюционная теория Ч.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решать элементарные биологические задачи, составлять схемы переноса веществ и энергии в экосистемах (цепи питания);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критически оценивать и интерпретировать информацию би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9" w:name="block-5354538"/>
      <w:r/>
      <w:bookmarkEnd w:id="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формы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461"/>
        <w:gridCol w:w="851"/>
        <w:gridCol w:w="1984"/>
        <w:gridCol w:w="1276"/>
        <w:gridCol w:w="265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0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1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6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Биология как наука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Живые системы и их организация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Химический состав и строение клетки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Жизнедеятельность клетки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Размножение и индивидуальное развитие организмов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Наследственность и изменчивость организмов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Селекция организмов. Основы биотехнологии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1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4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c292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5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851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формы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54"/>
        <w:gridCol w:w="2021"/>
        <w:gridCol w:w="875"/>
        <w:gridCol w:w="1601"/>
        <w:gridCol w:w="1660"/>
        <w:gridCol w:w="303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32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Эволюционная биология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Возникновение и развитие жизни на Земле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Организмы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Сообщества и экологические системы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42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cc7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9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7" w:h="16839" w:orient="portrait"/>
      <w:pgMar w:top="1135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6794866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9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355579"/>
      <w:docPartObj>
        <w:docPartGallery w:val="Page Numbers (Bottom of Page)"/>
        <w:docPartUnique w:val="true"/>
      </w:docPartObj>
      <w:rPr/>
    </w:sdtPr>
    <w:sdtContent>
      <w:p>
        <w:pPr>
          <w:pStyle w:val="893"/>
          <w:jc w:val="center"/>
        </w:pPr>
        <w:r/>
        <w:r/>
      </w:p>
    </w:sdtContent>
  </w:sdt>
  <w:p>
    <w:pPr>
      <w:pStyle w:val="89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3"/>
    <w:link w:val="869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3"/>
    <w:link w:val="870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873"/>
    <w:link w:val="871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873"/>
    <w:link w:val="872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3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3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68"/>
    <w:next w:val="868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3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68"/>
    <w:next w:val="868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3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68"/>
    <w:uiPriority w:val="34"/>
    <w:qFormat/>
    <w:pPr>
      <w:contextualSpacing/>
      <w:ind w:left="720"/>
    </w:pPr>
  </w:style>
  <w:style w:type="character" w:styleId="717">
    <w:name w:val="Title Char"/>
    <w:basedOn w:val="873"/>
    <w:link w:val="885"/>
    <w:uiPriority w:val="10"/>
    <w:rPr>
      <w:sz w:val="48"/>
      <w:szCs w:val="48"/>
    </w:rPr>
  </w:style>
  <w:style w:type="character" w:styleId="718">
    <w:name w:val="Subtitle Char"/>
    <w:basedOn w:val="873"/>
    <w:link w:val="883"/>
    <w:uiPriority w:val="11"/>
    <w:rPr>
      <w:sz w:val="24"/>
      <w:szCs w:val="24"/>
    </w:rPr>
  </w:style>
  <w:style w:type="paragraph" w:styleId="719">
    <w:name w:val="Quote"/>
    <w:basedOn w:val="868"/>
    <w:next w:val="868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68"/>
    <w:next w:val="868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character" w:styleId="723">
    <w:name w:val="Header Char"/>
    <w:basedOn w:val="873"/>
    <w:link w:val="876"/>
    <w:uiPriority w:val="99"/>
  </w:style>
  <w:style w:type="character" w:styleId="724">
    <w:name w:val="Footer Char"/>
    <w:basedOn w:val="873"/>
    <w:link w:val="893"/>
    <w:uiPriority w:val="99"/>
  </w:style>
  <w:style w:type="character" w:styleId="725">
    <w:name w:val="Caption Char"/>
    <w:basedOn w:val="890"/>
    <w:link w:val="893"/>
    <w:uiPriority w:val="99"/>
  </w:style>
  <w:style w:type="table" w:styleId="726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5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6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7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8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9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0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9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0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1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2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3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4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73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3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</w:style>
  <w:style w:type="paragraph" w:styleId="869">
    <w:name w:val="Heading 1"/>
    <w:basedOn w:val="868"/>
    <w:next w:val="868"/>
    <w:link w:val="87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70">
    <w:name w:val="Heading 2"/>
    <w:basedOn w:val="868"/>
    <w:next w:val="868"/>
    <w:link w:val="87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71">
    <w:name w:val="Heading 3"/>
    <w:basedOn w:val="868"/>
    <w:next w:val="868"/>
    <w:link w:val="88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72">
    <w:name w:val="Heading 4"/>
    <w:basedOn w:val="868"/>
    <w:next w:val="868"/>
    <w:link w:val="88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>
    <w:name w:val="Header"/>
    <w:basedOn w:val="868"/>
    <w:link w:val="87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77" w:customStyle="1">
    <w:name w:val="Верхний колонтитул Знак"/>
    <w:basedOn w:val="873"/>
    <w:link w:val="876"/>
    <w:uiPriority w:val="99"/>
  </w:style>
  <w:style w:type="character" w:styleId="878" w:customStyle="1">
    <w:name w:val="Заголовок 1 Знак"/>
    <w:basedOn w:val="873"/>
    <w:link w:val="869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79" w:customStyle="1">
    <w:name w:val="Заголовок 2 Знак"/>
    <w:basedOn w:val="873"/>
    <w:link w:val="870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80" w:customStyle="1">
    <w:name w:val="Заголовок 3 Знак"/>
    <w:basedOn w:val="873"/>
    <w:link w:val="871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81" w:customStyle="1">
    <w:name w:val="Заголовок 4 Знак"/>
    <w:basedOn w:val="873"/>
    <w:link w:val="87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82">
    <w:name w:val="Normal Indent"/>
    <w:basedOn w:val="868"/>
    <w:uiPriority w:val="99"/>
    <w:unhideWhenUsed/>
    <w:pPr>
      <w:ind w:left="720"/>
    </w:pPr>
  </w:style>
  <w:style w:type="paragraph" w:styleId="883">
    <w:name w:val="Subtitle"/>
    <w:basedOn w:val="868"/>
    <w:next w:val="868"/>
    <w:link w:val="88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84" w:customStyle="1">
    <w:name w:val="Подзаголовок Знак"/>
    <w:basedOn w:val="873"/>
    <w:link w:val="883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85">
    <w:name w:val="Title"/>
    <w:basedOn w:val="868"/>
    <w:next w:val="868"/>
    <w:link w:val="886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6" w:customStyle="1">
    <w:name w:val="Заголовок Знак"/>
    <w:basedOn w:val="873"/>
    <w:link w:val="885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87">
    <w:name w:val="Emphasis"/>
    <w:basedOn w:val="873"/>
    <w:uiPriority w:val="20"/>
    <w:qFormat/>
    <w:rPr>
      <w:i/>
      <w:iCs/>
    </w:rPr>
  </w:style>
  <w:style w:type="character" w:styleId="888">
    <w:name w:val="Hyperlink"/>
    <w:basedOn w:val="873"/>
    <w:uiPriority w:val="99"/>
    <w:unhideWhenUsed/>
    <w:rPr>
      <w:color w:val="0563c1" w:themeColor="hyperlink"/>
      <w:u w:val="single"/>
    </w:rPr>
  </w:style>
  <w:style w:type="table" w:styleId="889">
    <w:name w:val="Table Grid"/>
    <w:basedOn w:val="87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0">
    <w:name w:val="Caption"/>
    <w:basedOn w:val="868"/>
    <w:next w:val="868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891" w:customStyle="1">
    <w:name w:val="Без интервала Знак"/>
    <w:basedOn w:val="873"/>
    <w:link w:val="892"/>
    <w:uiPriority w:val="1"/>
    <w:rPr>
      <w:rFonts w:ascii="Times New Roman" w:hAnsi="Times New Roman" w:cs="Times New Roman" w:eastAsiaTheme="minorEastAsia"/>
    </w:rPr>
  </w:style>
  <w:style w:type="paragraph" w:styleId="892">
    <w:name w:val="No Spacing"/>
    <w:link w:val="89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93">
    <w:name w:val="Footer"/>
    <w:basedOn w:val="868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873"/>
    <w:link w:val="89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292" TargetMode="External"/><Relationship Id="rId16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7f41cc74" TargetMode="External"/><Relationship Id="rId20" Type="http://schemas.openxmlformats.org/officeDocument/2006/relationships/hyperlink" Target="https://m.edsoo.ru/7f41cc74" TargetMode="External"/><Relationship Id="rId21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7f41cc7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12</cp:revision>
  <dcterms:created xsi:type="dcterms:W3CDTF">2023-09-12T08:21:00Z</dcterms:created>
  <dcterms:modified xsi:type="dcterms:W3CDTF">2024-10-07T11:57:10Z</dcterms:modified>
</cp:coreProperties>
</file>