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99900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77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7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7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77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7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7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77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7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77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7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ID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981605)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«Физика»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для обучающихся 10-11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2024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1" w:name="block-6998996"/>
      <w:r/>
      <w:bookmarkEnd w:id="0"/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Физика» (далее – </w:t>
      </w:r>
      <w:bookmarkStart w:id="2" w:name="_GoBack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базового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уровня на уровне среднего общего образования разработана на основе положений и требований к результатам освоения основной образова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-познавательное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Ц</w:t>
      </w:r>
      <w:r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развитие интеллектуального потенциала учащихся, принятие ими знания как важнейшей человеческой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    </w:t>
      </w:r>
      <w:r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привлечение вни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contextualSpacing/>
        <w:ind w:left="-284" w:firstLine="884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Школьный курс физики – системообразующий для естественно-научных учебных предметов, поскольку физические законы лежат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основу курса физики для уровня среднего общего образования положен ряд идей, которые можно рассматривать как принципы его построения.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целостности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генерализации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гуманитаризации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прикладной направленности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Идея экологизации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Стержневыми элементами курса физики на уровне среднего общего образования являютс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Демонстрационное оборудование формируе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 объяснять явления с использованием физических знаний и научных доказательств;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представлений о роли физики для развития других естественных наук, техники и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этих целей обеспечивается решением следующих задач в процессе изучения курса физики на уровне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условий для развития умений проектно-исследовательской, творческой деятельности.</w:t>
      </w:r>
      <w:bookmarkStart w:id="3" w:name="490f2411-5974-435e-ac25-4fd30bd3d38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 w:eastAsiaTheme="minorEastAsia"/>
          <w:b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 w:eastAsia="ru-RU"/>
        </w:rPr>
      </w:r>
      <w:r>
        <w:rPr>
          <w:rFonts w:ascii="Liberation Serif" w:hAnsi="Liberation Serif" w:eastAsia="Calibri" w:cs="Liberation Serif"/>
          <w:b/>
          <w:color w:val="ff0000"/>
          <w:sz w:val="24"/>
          <w:szCs w:val="24"/>
          <w:u w:val="single"/>
          <w:lang w:val="ru-RU" w:eastAsia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«Физика» 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contextualSpacing/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 w:eastAsiaTheme="minorEastAsia"/>
          <w:color w:val="000000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b/>
          <w:color w:val="000000"/>
          <w:sz w:val="24"/>
          <w:szCs w:val="24"/>
          <w:shd w:val="clear" w:color="auto" w:fill="ffffff"/>
          <w:lang w:val="ru-RU" w:eastAsia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shd w:val="clear" w:color="auto" w:fill="ffffff"/>
          <w:lang w:val="ru-RU" w:eastAsia="ru-RU"/>
        </w:rPr>
        <w:tab/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lang w:val="ru-RU" w:eastAsia="ru-RU"/>
        </w:rPr>
      </w:r>
      <w:r>
        <w:rPr>
          <w:rFonts w:ascii="Liberation Serif" w:hAnsi="Liberation Serif" w:cs="Liberation Serif" w:eastAsiaTheme="minorEastAsia"/>
          <w:color w:val="000000"/>
          <w:sz w:val="24"/>
          <w:szCs w:val="24"/>
          <w:lang w:val="ru-RU" w:eastAsia="ru-RU"/>
        </w:rPr>
      </w:r>
    </w:p>
    <w:p>
      <w:pPr>
        <w:ind w:left="-284" w:right="-1" w:firstLine="884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Учебный предмет «Физик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а» входит в предметную область «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Естественно-научные предметы». 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ind w:left="-284" w:firstLine="88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24426195"/>
      <w:r/>
      <w:bookmarkStart w:id="5" w:name="block-6998997"/>
      <w:r/>
      <w:bookmarkEnd w:id="1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1. Физика и методы научного познания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Аналоговые и цифровые измерительные приборы, компьютерные датчики.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2. Механика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Кинематика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Свободное падение. Ускорение свободного падения.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спидометр, движение снарядов, цепные и ремённые передачи.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системы отсчёта, иллюстрация кинематических характеристик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движений с использованием простых механизмов.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Падение тел в воздухе и в разреженном пространстве.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ускорения свободного падения.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Направление скорости при движении по окружности.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неравномерного движения с целью определения мгновенной скорости.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движения шарика в вязкой жидкости.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движения тела, брошенного горизонтально.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Динамика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 относительности Галилея. Первый закон Ньютона. Инерциальные системы отсчёта.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Масса тела. Сила. Принцип суперпозиции сил. Второй закон Ньютона для материальной точки. Третий закон Ньютона для материальных точек.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 всемирного тяготения. Сила тяжести. Первая космическая скорость.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Сила упругости. Закон Гука. Вес тела.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Поступательное и вращательное движение абсолютно твёрдого тела.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Момент силы относительно оси вращения. Плечо силы. Условия равновесия твёрдого тела.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подшипники, движение искусственных спутников.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Явление инерции.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масс взаимодействующих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Второй закон Ньютона.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сил.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Сложение сил.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силы упругости от деформации.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Невесомость. Вес тела при ускоренном подъёме и падении.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Сравнение сил трения покоя, качения и скольжения.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равновесия твёрдого тела. Виды равновесия.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движения бруска по наклонной плоскости.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зависимости сил упругости, возникающих в пружине и резиновом образце, от их деформации.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условий равновесия твёрдого тела, имеющего ось вращения.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Законы сохранения в механике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 силы. Мощность силы.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Кинетическая энергия материальной точки. Теорема об изменении кинетической энергии.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Упругие и неупругие столкновения.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водомёт, копёр, пружинный пистолет, движение ракет.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 сохранения импульса.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Реактивное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Переход потенциальной энергии в кинетическую и обратно.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абсолютно неупругого удара с помощью двух одинаковых нитяных маятников.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связи работы силы с изменением механической энергии тела на примере растяжения резинового жгута.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3. Молекулярная физика и термодинамика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Основы молекулярно-кинетической теории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положения молекулярно-кинетической теории и их опытное обоснование.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Броуновское движение. Диффузия. Характер движения и взаимодействия частиц вещества.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Тепловое равновесие. Температура и её измерение. Шкала температур Цельсия.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термометр, барометр.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Опыты, доказывающие дискретное строение вещества, фотографии молекул органических соединений.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Опыты по диффузии жидкостей и газов.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броуновского движения.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опыта Штерна.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Опыты, доказывающие существование межмолекулярного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Модель, иллюстрирующая природу давления газа на стенки сосуда.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Опыты, иллюстрирующие уравнение состояния идеального газа, изопроцессы.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массы воздуха в классной комнате на основе измерений объёма комнаты, давления и температуры воздуха в ней.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зависимости между параметрами состояния разреженного газа.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Основы термодинамики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Термодинамическая система. Внутренняя энергия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Второй закон термодинамики. Необратимость процессов в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двигатель внутреннего сгорания, бытовой холодильник, кондиционер.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Изменение внутренней энергии (температуры) тела при теплопередаче.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по адиабатному расширению воздуха (опыт с воздушным огнивом).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 паровой турбины, двигателя внутреннего сгорания, реактивного двигателя.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удельной теплоёмкости.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Агрегатные состояния вещества. Фазовые переходы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Уравнение теплового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Свойства насыщенных паров.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Кипение при пониженном давлении.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измерения влажности.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нагревания и плавления кристаллического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Демонстрация кристаллов.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относительной влажности воздуха.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4. Электродинамика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Электростатика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Электроёмкость. Конденсатор. Электроёмкость плоского конденсатора. Энергия заряженного конденсатора.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Устройство и принцип действия электрометра.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наэлектризованных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Электрическое поле заряженных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Проводники в электростатическом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Электростатическая защита.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Диэлектрики в электростатическом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Энергия заряженного конденсатора.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электроёмкости конденсатора.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Постоянный электрический ток. Токи в различных средах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Напряжение. Закон Ома для участка цепи.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 электрического тока. Закон Джоуля–Ленца. Мощность электрического тока.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Электродвижущая сила и внутреннее сопротивление источника тока. Закон Ома для полной (замкнутой) электрической цепи. Короткое замыкание.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Электрический ток в вакууме. Свойства электронных пучков.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-перехода. Полупроводниковые приборы.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Электрический ток в растворах и расплавах электролитов. Электролитическая диссоциация. Электролиз.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Электрический ток в газах. Самостоятельный и несамостоятельный разряд. Молния. Плазма.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силы тока и напряжения.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сопротивления цилиндрических проводников от длины, площади поперечного сечения и материала.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Смешанное соединение проводников.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Прямое измерение электродвижущей силы. Короткое замыкание гальванического элемента и оценка внутреннего сопротивления.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сопротивления металлов от температуры.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Проводимость электролитов.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Искровой разряд и проводимость воздуха.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Односторонняя проводимость диода.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смешанного соединения резисторов.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электродвижущей силы источника тока и его внутреннего сопротивления.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электролиза.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Межпредметные понятия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Математика: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Биология: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Химия: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География: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Технология: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водомёт и другие), двигатель внутреннего сгорания, паровая турбина, бытовой холодильник, 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4. Электродинамика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Магнитное поле. Электромагнитная индукция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Сила Ампера, её модуль и направление.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Сила Лоренца, её модуль и направление. Движение заряженной частицы в однородном магнитном поле. Работа силы Лоренца.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Вихревое электрическое поле. Электродвижущая сила индукции в проводнике, движущемся поступательно в однородном магнитном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Правило Ленца.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Индуктивность. Явление самоиндукции. Электродвижущая сила самоиндукции.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Энергия магнитного поля катушки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Электромагнитное поле.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 Эрстеда.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Отклонение электронного пучка магнитным полем.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Линии индукции магнитного поля.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двух проводников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Сила Ампера.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Действие силы Лоренца на ионы электролита.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Явление электромагнитной индукции.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Правило Ленца.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Зависимость электродвижущей силы индукции от скорости изменения магнитного потока.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Явление самоиндукции.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магнитного поля катушки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действия постоянного магнита на рамку с током.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явления электромагнитной индукции.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5. Колебания и волны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Механические и электромагнитные колебания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маятник. Уравнение гармонических колебаний. Превращение энергии при гармонических колебаниях.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электрический звонок, генератор переменного тока, линии электропередач.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параметров колебательной системы (пружинный или математический маятник).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затухающих колебаний.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свойств вынужденных колебаний.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резонанса.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Свободные электромагнитные колебания.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Осциллограммы (зависимости силы тока и напряжения от времени) для электромагнитных колебаний.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Резонанс при последовательном соединении резистора, катушки индуктивности и конденсатора.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линии электропередачи.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зависимости периода малых колебаний груза на нити от длины нити и массы груза.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переменного тока в цепи из последовательно соединённых конденсатора, катушки и резистора.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Механические и электромагнитные волны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Звук. Скорость звука. Громкость звука. Высота тона. Тембр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B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V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Шкала электромагнитных волн. Применение электромагнитных волн в технике и быту.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радиосвязи и телевидения. Радиолокация.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Электромагнитное загрязнение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 распространение поперечных и продольных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Колеблющееся тело как источник звука.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отражения и преломления механических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интерференции и дифракции механических волн.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Звуковой резонанс.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связи громкости звука и высоты тона с амплитудой и частотой колебаний.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свойств электромагнитных волн: отражение, преломление, поляризация, дифракция, интерференция.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Оптика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Отражение света. Законы отражения света. Построение изображений в плоском зеркале.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Дисперсия света. Сложный состав белого света. Цвет.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Пределы применимости геометрической оптики.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Поляризация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Прямолинейное распространение, отражение и преломление света. Оптические приборы.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Полное внутреннее отражение. Модель световода.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свойств изображений в линзах.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 микроскопа, телескопа.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интерференции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дифракции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дисперсии света.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Получение спектра с помощью призмы.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Получение спектра с помощью дифракционной решётки.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поляризации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свойств изображений в линзах.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дисперсии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6. Основы специальной теории относительности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Относительность одновременности. Замедление времени и сокращение длины.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Энергия и импульс релятивистской частицы.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Связь массы с энергией и импульсом релятивистской частицы. Энергия покоя.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7. Квантовая физика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1. Элементы квантовой оптики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Фотоны. Формула Планка связи энергии фотона с его частотой. Энергия и импульс фотона.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Давление света. Опыты П. Н. Лебедева.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Химическое действие света.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фотоэлемент, фотодатчик, солнечная батарея, светодиод.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Фотоэффект на установке с цинковой пластиной.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законов внешнего фотоэффекта.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Светодиод.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Солнечная батарея.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2. Строение атома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атома Томсона. Опыты Резерфорда по рассеянию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Волновые свойства частиц. Волны де Бройля. Корпускулярно-волновой дуализм.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Спонтанное и вынужденное излучение.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спектральный анализ (спектроскоп), лазер, квантовый компьютер.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Модель опыта Резерфорда.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длины волны лазера.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линейчатых спектров излучения.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Лазер.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Наблюдение линейчатого спектра.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Тема 3. Атомное ядро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Альфа-распад. Электронный и позитронный бета-распад. Гамма-излучение. Закон радиоактивного распада.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Энергия связи нуклонов в ядре. Ядерные силы. Дефект массы ядра.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Ядерные реакции. Деление и синтез ядер.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Ядерный реактор. Термоядерный синтез. Проблемы и перспективы ядерной энергетики. Экологические аспекты ядерной энергетики.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Элементарные частицы. Открытие позитрона.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Методы наблюдения и регистрации элементарных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Фундаментальные взаимодействия. Единство физической картины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дозиметр, камера Вильсона, ядерный реактор, атомная бомба.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Счётчик ионизирующих частиц.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Ученический эксперимент, лабораторные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Исследование треков частиц (по готовым фотографиям).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Раздел 8. Элементы астрономии и астрофизики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развития астрономии. Прикладное и мировоззренческое значение астрономии.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 звёздного неба. Созвездия, яркие звёзды, планеты, их видимое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Солнечная система.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Вселенная. Расширение Вселенной. Закон Хаббла. Разбегание галактик. Теория Большого взрыва. Реликтовое излучение.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Масштабная структура Вселенной. Метагалактика.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Нерешённые проблемы астрономии.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Ученические наблюдения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Наблюдения в телескоп Луны, планет, Млечного Пути.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Обобщающее повторение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физики и астрономии в экономической, технологической, социальной и этической сферах деятельности 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Межпредметные понятия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Математика: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решение системы уравнений, тригонометрические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Биология: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Химия: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География: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40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Технология: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after="0" w:line="264" w:lineRule="auto"/>
        <w:rPr>
          <w:lang w:val="ru-RU"/>
        </w:rPr>
      </w:pPr>
      <w:r/>
      <w:bookmarkStart w:id="6" w:name="block-6998998"/>
      <w:r/>
      <w:bookmarkEnd w:id="5"/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</w:t>
      </w:r>
      <w:r>
        <w:rPr>
          <w:rFonts w:ascii="Liberation Serif" w:hAnsi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 ПО ФИЗИКЕ НА УРОВНЕ СРЕДНЕГО ОБЩЕГО ОБРАЗОВАНИЯ</w:t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8345808"/>
      <w:r/>
      <w:bookmarkEnd w:id="7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достижениям российских учёных в области физики и техники;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научного творчества, присущего физической науке;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в области физики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 на основе имеющихся знаний по физике;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физической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38345809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научной терминологией, ключевыми понятиями и методами физической науки;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деятельности, в том числе при изучении физики;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по физике в практическую область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 информации;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общение на уроках физики и во вне­урочной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на себя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38345810"/>
      <w:r/>
      <w:bookmarkStart w:id="10" w:name="_Toc134720971"/>
      <w:r/>
      <w:bookmarkEnd w:id="9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10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эксперименты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расчётные задачи с явно заданной физической моде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в 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 11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физические явления (процессы) и объяснять их на основе законов электродинамики и квантовой физики: элек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изученные свойства 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направление вектора индукции магнитного поля проводника с током, силы Ампера и силы Лоренца;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описывать изображение, создаваемое плоским зеркалом, тонкой линзой;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эксперименты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расчётные задачи с явно заданной физической моде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работать в 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84" w:firstLine="88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 w:eastAsia="Calibri" w:cs="Times New Roman"/>
          <w:b/>
          <w:color w:val="000000"/>
          <w:sz w:val="28"/>
          <w:lang w:val="ru-RU"/>
        </w:rPr>
      </w:pPr>
      <w:r/>
      <w:bookmarkStart w:id="11" w:name="block-6998999"/>
      <w:r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b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34 часа (1час в неделю)</w:t>
      </w:r>
      <w:r>
        <w:rPr>
          <w:b/>
          <w:lang w:val="ru-RU"/>
        </w:rPr>
      </w:r>
      <w:r>
        <w:rPr>
          <w:b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3142"/>
        <w:gridCol w:w="1559"/>
        <w:gridCol w:w="1843"/>
        <w:gridCol w:w="1984"/>
        <w:gridCol w:w="354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54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МЕТОДЫ НАУЧНОГО ПОЗНАНИЯ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и методы научного познания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МЕХАНИКА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Кинематика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сохранения в механике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МОЛЕКУЛЯРНАЯ ФИЗИКА И ТЕРМОДИНАМИКА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молекулярно-кинетической теории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термодинамики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2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ЭЛЕКТРОДИНАМИКА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1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1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Постоянный электрический ток. Токи в различных средах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bf7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72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737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Общее количество часов по программе 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354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  <w:highlight w:val="none"/>
        </w:rPr>
      </w:r>
      <w:r>
        <w:rPr>
          <w:rFonts w:ascii="Times New Roman" w:hAnsi="Times New Roman"/>
          <w:b/>
          <w:color w:val="000000"/>
          <w:sz w:val="28"/>
          <w:highlight w:val="none"/>
        </w:rPr>
      </w:r>
    </w:p>
    <w:p>
      <w:pPr>
        <w:ind w:left="0"/>
        <w:jc w:val="center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b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34 часа (1час в неделю)</w:t>
      </w:r>
      <w:r>
        <w:rPr>
          <w:b/>
          <w:lang w:val="ru-RU"/>
        </w:rPr>
      </w:r>
      <w:r>
        <w:rPr>
          <w:b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1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цифровые) образовательные ресурсы 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3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ЭЛЕКТРОДИНАМИКА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Электромагнитная индукция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88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КОЛЕБАНИЯ И ВОЛНЫ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колебания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88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ОСНОВЫ СПЕЦИАЛЬНОЙ ТЕОРИИ ОТНОСИТЕЛЬНОСТИ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специальной теории относительности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688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КВАНТОВАЯ ФИЗИКА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квантовой оптики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Атомное ядро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688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13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ЭЛЕМЕНТЫ АСТРОНОМИИ И АСТРОФИЗИКИ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6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астрономии и астрофизики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c9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ru-RU"/>
              </w:rPr>
              <w:t xml:space="preserve">Общее количество часов по программе 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3137" w:type="dxa"/>
            <w:vAlign w:val="center"/>
            <w:textDirection w:val="lrTb"/>
            <w:noWrap w:val="false"/>
          </w:tcPr>
          <w:p>
            <w:r/>
            <w:bookmarkEnd w:id="11"/>
            <w:r/>
            <w:r/>
          </w:p>
        </w:tc>
      </w:tr>
    </w:tbl>
    <w:p>
      <w:r/>
      <w:r/>
    </w:p>
    <w:sectPr>
      <w:footnotePr/>
      <w:endnotePr/>
      <w:type w:val="nextPage"/>
      <w:pgSz w:w="16383" w:h="11906" w:orient="landscape"/>
      <w:pgMar w:top="1134" w:right="851" w:bottom="1134" w:left="85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43458286"/>
      <w:docPartObj>
        <w:docPartGallery w:val="Page Numbers (Bottom of Page)"/>
        <w:docPartUnique w:val="true"/>
      </w:docPartObj>
      <w:rPr/>
    </w:sdtPr>
    <w:sdtContent>
      <w:p>
        <w:pPr>
          <w:pStyle w:val="87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859"/>
    <w:link w:val="855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2 Char"/>
    <w:basedOn w:val="859"/>
    <w:link w:val="856"/>
    <w:uiPriority w:val="9"/>
    <w:rPr>
      <w:rFonts w:ascii="Arial" w:hAnsi="Arial" w:eastAsia="Arial" w:cs="Arial"/>
      <w:sz w:val="34"/>
    </w:rPr>
  </w:style>
  <w:style w:type="character" w:styleId="690">
    <w:name w:val="Heading 3 Char"/>
    <w:basedOn w:val="859"/>
    <w:link w:val="857"/>
    <w:uiPriority w:val="9"/>
    <w:rPr>
      <w:rFonts w:ascii="Arial" w:hAnsi="Arial" w:eastAsia="Arial" w:cs="Arial"/>
      <w:sz w:val="30"/>
      <w:szCs w:val="30"/>
    </w:rPr>
  </w:style>
  <w:style w:type="character" w:styleId="691">
    <w:name w:val="Heading 4 Char"/>
    <w:basedOn w:val="859"/>
    <w:link w:val="858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59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59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54"/>
    <w:next w:val="854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5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54"/>
    <w:next w:val="854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59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54"/>
    <w:next w:val="854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59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54"/>
    <w:uiPriority w:val="34"/>
    <w:qFormat/>
    <w:pPr>
      <w:contextualSpacing/>
      <w:ind w:left="720"/>
    </w:pPr>
  </w:style>
  <w:style w:type="character" w:styleId="703">
    <w:name w:val="Title Char"/>
    <w:basedOn w:val="859"/>
    <w:link w:val="871"/>
    <w:uiPriority w:val="10"/>
    <w:rPr>
      <w:sz w:val="48"/>
      <w:szCs w:val="48"/>
    </w:rPr>
  </w:style>
  <w:style w:type="character" w:styleId="704">
    <w:name w:val="Subtitle Char"/>
    <w:basedOn w:val="859"/>
    <w:link w:val="869"/>
    <w:uiPriority w:val="11"/>
    <w:rPr>
      <w:sz w:val="24"/>
      <w:szCs w:val="24"/>
    </w:rPr>
  </w:style>
  <w:style w:type="paragraph" w:styleId="705">
    <w:name w:val="Quote"/>
    <w:basedOn w:val="854"/>
    <w:next w:val="854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4"/>
    <w:next w:val="854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62"/>
    <w:uiPriority w:val="99"/>
  </w:style>
  <w:style w:type="character" w:styleId="710">
    <w:name w:val="Footer Char"/>
    <w:basedOn w:val="859"/>
    <w:link w:val="879"/>
    <w:uiPriority w:val="99"/>
  </w:style>
  <w:style w:type="character" w:styleId="711">
    <w:name w:val="Caption Char"/>
    <w:basedOn w:val="876"/>
    <w:link w:val="879"/>
    <w:uiPriority w:val="99"/>
  </w:style>
  <w:style w:type="table" w:styleId="712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9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9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paragraph" w:styleId="855">
    <w:name w:val="Heading 1"/>
    <w:basedOn w:val="854"/>
    <w:next w:val="854"/>
    <w:link w:val="86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56">
    <w:name w:val="Heading 2"/>
    <w:basedOn w:val="854"/>
    <w:next w:val="854"/>
    <w:link w:val="86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7">
    <w:name w:val="Heading 3"/>
    <w:basedOn w:val="854"/>
    <w:next w:val="854"/>
    <w:link w:val="86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58">
    <w:name w:val="Heading 4"/>
    <w:basedOn w:val="854"/>
    <w:next w:val="854"/>
    <w:link w:val="86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>
    <w:name w:val="Header"/>
    <w:basedOn w:val="854"/>
    <w:link w:val="86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3" w:customStyle="1">
    <w:name w:val="Верхний колонтитул Знак"/>
    <w:basedOn w:val="859"/>
    <w:link w:val="862"/>
    <w:uiPriority w:val="99"/>
  </w:style>
  <w:style w:type="character" w:styleId="864" w:customStyle="1">
    <w:name w:val="Заголовок 1 Знак"/>
    <w:basedOn w:val="859"/>
    <w:link w:val="85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65" w:customStyle="1">
    <w:name w:val="Заголовок 2 Знак"/>
    <w:basedOn w:val="859"/>
    <w:link w:val="856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66" w:customStyle="1">
    <w:name w:val="Заголовок 3 Знак"/>
    <w:basedOn w:val="859"/>
    <w:link w:val="857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67" w:customStyle="1">
    <w:name w:val="Заголовок 4 Знак"/>
    <w:basedOn w:val="859"/>
    <w:link w:val="858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68">
    <w:name w:val="Normal Indent"/>
    <w:basedOn w:val="854"/>
    <w:uiPriority w:val="99"/>
    <w:unhideWhenUsed/>
    <w:pPr>
      <w:ind w:left="720"/>
    </w:pPr>
  </w:style>
  <w:style w:type="paragraph" w:styleId="869">
    <w:name w:val="Subtitle"/>
    <w:basedOn w:val="854"/>
    <w:next w:val="854"/>
    <w:link w:val="87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0" w:customStyle="1">
    <w:name w:val="Подзаголовок Знак"/>
    <w:basedOn w:val="859"/>
    <w:link w:val="86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1">
    <w:name w:val="Title"/>
    <w:basedOn w:val="854"/>
    <w:next w:val="854"/>
    <w:link w:val="872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2" w:customStyle="1">
    <w:name w:val="Заголовок Знак"/>
    <w:basedOn w:val="859"/>
    <w:link w:val="87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3">
    <w:name w:val="Emphasis"/>
    <w:basedOn w:val="859"/>
    <w:uiPriority w:val="20"/>
    <w:qFormat/>
    <w:rPr>
      <w:i/>
      <w:iCs/>
    </w:rPr>
  </w:style>
  <w:style w:type="character" w:styleId="874">
    <w:name w:val="Hyperlink"/>
    <w:basedOn w:val="859"/>
    <w:uiPriority w:val="99"/>
    <w:unhideWhenUsed/>
    <w:rPr>
      <w:color w:val="0000ff" w:themeColor="hyperlink"/>
      <w:u w:val="single"/>
    </w:rPr>
  </w:style>
  <w:style w:type="table" w:styleId="875">
    <w:name w:val="Table Grid"/>
    <w:basedOn w:val="86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6">
    <w:name w:val="Caption"/>
    <w:basedOn w:val="854"/>
    <w:next w:val="854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77">
    <w:name w:val="No Spacing"/>
    <w:link w:val="878"/>
    <w:uiPriority w:val="1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character" w:styleId="878" w:customStyle="1">
    <w:name w:val="Без интервала Знак"/>
    <w:link w:val="877"/>
    <w:uiPriority w:val="1"/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879">
    <w:name w:val="Footer"/>
    <w:basedOn w:val="854"/>
    <w:link w:val="8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59"/>
    <w:link w:val="879"/>
    <w:uiPriority w:val="99"/>
  </w:style>
  <w:style w:type="paragraph" w:styleId="881" w:customStyle="1">
    <w:name w:val="Без интервала11"/>
    <w:next w:val="877"/>
    <w:uiPriority w:val="1"/>
    <w:qFormat/>
    <w:pPr>
      <w:spacing w:after="0" w:line="240" w:lineRule="auto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bf72" TargetMode="External"/><Relationship Id="rId16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7f41bf72" TargetMode="External"/><Relationship Id="rId20" Type="http://schemas.openxmlformats.org/officeDocument/2006/relationships/hyperlink" Target="https://m.edsoo.ru/7f41c97c" TargetMode="External"/><Relationship Id="rId21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4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7f41c97c" TargetMode="External"/><Relationship Id="rId26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7f41c97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F8702-209E-454F-AEC5-8A7C95B0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12</cp:revision>
  <dcterms:created xsi:type="dcterms:W3CDTF">2023-09-01T11:16:00Z</dcterms:created>
  <dcterms:modified xsi:type="dcterms:W3CDTF">2024-10-07T12:16:34Z</dcterms:modified>
</cp:coreProperties>
</file>