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block-21965147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5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65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65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5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9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9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659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5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9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659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659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«Геометрия»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/>
      <w:bookmarkStart w:id="2" w:name="block-21965148"/>
      <w:r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</w:t>
      </w:r>
      <w:r>
        <w:rPr>
          <w:rFonts w:ascii="Liberation Serif" w:hAnsi="Liberation Serif" w:cs="Liberation Serif"/>
          <w:sz w:val="24"/>
          <w:szCs w:val="24"/>
        </w:rPr>
        <w:t xml:space="preserve">приказ Минобрнауки России от 17.12.2010 № 1897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 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развития математического образования в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en-US"/>
        </w:rPr>
      </w:pPr>
      <w:r>
        <w:rPr>
          <w:rFonts w:ascii="Liberation Serif" w:hAnsi="Liberation Serif" w:eastAsia="Arial" w:cs="Liberation Serif"/>
          <w:sz w:val="24"/>
          <w:szCs w:val="24"/>
          <w:lang w:eastAsia="en-US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sz w:val="24"/>
          <w:szCs w:val="24"/>
          <w:lang w:eastAsia="en-US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Геометрия как один из основных разделов школьной 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«Векторы», «Тригонометрические соотношения», «Метод координат» и «Теорема Пифагора».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cs="Liberation Serif"/>
          <w:sz w:val="24"/>
          <w:szCs w:val="24"/>
        </w:rPr>
        <w:t xml:space="preserve">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«Геометрия»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cs="Liberation Serif"/>
          <w:sz w:val="24"/>
          <w:szCs w:val="24"/>
        </w:rPr>
        <w:t xml:space="preserve">» входит в предметную область «Математика и информатика»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учебным планом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изучение учебного курса «Геометрия» отводится 204 часа: в 7 классе – 68 часов (2 часа в неделю), в 8 классе – 68 часов (2 часа в неделю), в 9 классе – 68 часов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4" w:name="block-21965145"/>
      <w:r/>
      <w:bookmarkEnd w:id="2"/>
      <w:r/>
      <w:bookmarkEnd w:id="3"/>
      <w:r/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Средние линии треугольника и трапеции. Центр масс треугольника.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Вектор, длина (модуль) вектора, сонаправленные век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block-21965146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ОБРАЗОВАТЕЛЬНЫЕ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РЕЗУЛЬТАТЫ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«Геометрия» характеризуются: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49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вычисления и 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преобразования подобия,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Start w:id="7" w:name="block-21965149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68 урока (2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2611"/>
        <w:gridCol w:w="2657"/>
        <w:gridCol w:w="32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0"/>
        <w:gridCol w:w="4604"/>
        <w:gridCol w:w="2523"/>
        <w:gridCol w:w="2680"/>
        <w:gridCol w:w="325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Простейшие геометрические фигуры и их свойства. Измерение геометрических величин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Параллельные прямые, сумма углов треугольника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5e2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https://m.edsoo.ru/7f415e2e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68 урока (2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2"/>
        <w:gridCol w:w="4669"/>
        <w:gridCol w:w="2611"/>
        <w:gridCol w:w="2544"/>
        <w:gridCol w:w="340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7"/>
        <w:gridCol w:w="4752"/>
        <w:gridCol w:w="2518"/>
        <w:gridCol w:w="2543"/>
        <w:gridCol w:w="33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Четырёхугольники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5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Фалеса и теорема о пропорциональных отрезках, подобные треугольники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6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7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Теорема Пифагора и начала тригонометрии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5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7e1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https://m.edsoo.ru/7f417e18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0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68 урока (2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49"/>
        <w:gridCol w:w="4562"/>
        <w:gridCol w:w="2611"/>
        <w:gridCol w:w="2635"/>
        <w:gridCol w:w="33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Тригонометрия. Теоремы косинусов и синусов. Решение треугольников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Векторы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Правильные многоугольники. Длина окружности и площадь круга. Вычисление площадей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Движения плоскости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6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7"/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6"/>
        <w:gridCol w:w="4641"/>
        <w:gridCol w:w="2520"/>
        <w:gridCol w:w="2631"/>
        <w:gridCol w:w="330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Тригонометрия. Теоремы косинусов и синусов. Решение треугольников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8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9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Векторы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0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1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Правильные многоугольники. Длина окружности и площадь круга. Вычисление площадей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2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Движения плоскости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3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6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4" w:tooltip="https://m.edsoo.ru/7f41a12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https://m.edsoo.ru/7f41a12c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42" w:hanging="2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39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06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39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06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73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0"/>
    <w:link w:val="63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0"/>
    <w:link w:val="63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0"/>
    <w:link w:val="63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0"/>
    <w:link w:val="63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5"/>
    <w:next w:val="6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5"/>
    <w:next w:val="6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5"/>
    <w:next w:val="6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5"/>
    <w:next w:val="6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5"/>
    <w:next w:val="6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40"/>
    <w:link w:val="652"/>
    <w:uiPriority w:val="10"/>
    <w:rPr>
      <w:sz w:val="48"/>
      <w:szCs w:val="48"/>
    </w:rPr>
  </w:style>
  <w:style w:type="character" w:styleId="37">
    <w:name w:val="Subtitle Char"/>
    <w:basedOn w:val="640"/>
    <w:link w:val="650"/>
    <w:uiPriority w:val="11"/>
    <w:rPr>
      <w:sz w:val="24"/>
      <w:szCs w:val="24"/>
    </w:rPr>
  </w:style>
  <w:style w:type="paragraph" w:styleId="38">
    <w:name w:val="Quote"/>
    <w:basedOn w:val="635"/>
    <w:next w:val="6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5"/>
    <w:next w:val="6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0"/>
    <w:link w:val="647"/>
    <w:uiPriority w:val="99"/>
  </w:style>
  <w:style w:type="paragraph" w:styleId="44">
    <w:name w:val="Footer"/>
    <w:basedOn w:val="6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0"/>
    <w:link w:val="44"/>
    <w:uiPriority w:val="99"/>
  </w:style>
  <w:style w:type="character" w:styleId="47">
    <w:name w:val="Caption Char"/>
    <w:basedOn w:val="657"/>
    <w:link w:val="44"/>
    <w:uiPriority w:val="99"/>
  </w:style>
  <w:style w:type="table" w:styleId="49">
    <w:name w:val="Table Grid Light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0"/>
    <w:uiPriority w:val="99"/>
    <w:unhideWhenUsed/>
    <w:rPr>
      <w:vertAlign w:val="superscript"/>
    </w:rPr>
  </w:style>
  <w:style w:type="paragraph" w:styleId="178">
    <w:name w:val="endnote text"/>
    <w:basedOn w:val="6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0"/>
    <w:uiPriority w:val="99"/>
    <w:semiHidden/>
    <w:unhideWhenUsed/>
    <w:rPr>
      <w:vertAlign w:val="superscript"/>
    </w:rPr>
  </w:style>
  <w:style w:type="paragraph" w:styleId="181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5"/>
    <w:next w:val="635"/>
    <w:uiPriority w:val="99"/>
    <w:unhideWhenUsed/>
    <w:pPr>
      <w:spacing w:after="0" w:afterAutospacing="0"/>
    </w:pPr>
  </w:style>
  <w:style w:type="paragraph" w:styleId="635" w:default="1">
    <w:name w:val="Normal"/>
    <w:qFormat/>
  </w:style>
  <w:style w:type="paragraph" w:styleId="636">
    <w:name w:val="Heading 1"/>
    <w:basedOn w:val="635"/>
    <w:next w:val="635"/>
    <w:link w:val="64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637">
    <w:name w:val="Heading 2"/>
    <w:basedOn w:val="635"/>
    <w:next w:val="635"/>
    <w:link w:val="64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638">
    <w:name w:val="Heading 3"/>
    <w:basedOn w:val="635"/>
    <w:next w:val="635"/>
    <w:link w:val="64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639">
    <w:name w:val="Heading 4"/>
    <w:basedOn w:val="635"/>
    <w:next w:val="635"/>
    <w:link w:val="64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640" w:default="1">
    <w:name w:val="Default Paragraph Font"/>
    <w:uiPriority w:val="1"/>
    <w:semiHidden/>
    <w:unhideWhenUsed/>
  </w:style>
  <w:style w:type="table" w:styleId="6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2" w:default="1">
    <w:name w:val="No List"/>
    <w:uiPriority w:val="99"/>
    <w:semiHidden/>
    <w:unhideWhenUsed/>
  </w:style>
  <w:style w:type="character" w:styleId="643" w:customStyle="1">
    <w:name w:val="Заголовок 1 Знак"/>
    <w:basedOn w:val="640"/>
    <w:link w:val="63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644" w:customStyle="1">
    <w:name w:val="Заголовок 2 Знак"/>
    <w:basedOn w:val="640"/>
    <w:link w:val="63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645" w:customStyle="1">
    <w:name w:val="Заголовок 3 Знак"/>
    <w:basedOn w:val="640"/>
    <w:link w:val="638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646" w:customStyle="1">
    <w:name w:val="Заголовок 4 Знак"/>
    <w:basedOn w:val="640"/>
    <w:link w:val="63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647">
    <w:name w:val="Header"/>
    <w:basedOn w:val="635"/>
    <w:link w:val="648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648" w:customStyle="1">
    <w:name w:val="Верхний колонтитул Знак"/>
    <w:basedOn w:val="640"/>
    <w:link w:val="647"/>
    <w:uiPriority w:val="99"/>
    <w:rPr>
      <w:rFonts w:eastAsiaTheme="minorHAnsi"/>
      <w:lang w:val="en-US" w:eastAsia="en-US"/>
    </w:rPr>
  </w:style>
  <w:style w:type="paragraph" w:styleId="649">
    <w:name w:val="Normal Indent"/>
    <w:basedOn w:val="635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650">
    <w:name w:val="Subtitle"/>
    <w:basedOn w:val="635"/>
    <w:next w:val="635"/>
    <w:link w:val="65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651" w:customStyle="1">
    <w:name w:val="Подзаголовок Знак"/>
    <w:basedOn w:val="640"/>
    <w:link w:val="65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652">
    <w:name w:val="Title"/>
    <w:basedOn w:val="635"/>
    <w:next w:val="635"/>
    <w:link w:val="65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653" w:customStyle="1">
    <w:name w:val="Заголовок Знак"/>
    <w:basedOn w:val="640"/>
    <w:link w:val="65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654">
    <w:name w:val="Emphasis"/>
    <w:basedOn w:val="640"/>
    <w:uiPriority w:val="20"/>
    <w:qFormat/>
    <w:rPr>
      <w:i/>
      <w:iCs/>
    </w:rPr>
  </w:style>
  <w:style w:type="character" w:styleId="655">
    <w:name w:val="Hyperlink"/>
    <w:basedOn w:val="640"/>
    <w:uiPriority w:val="99"/>
    <w:unhideWhenUsed/>
    <w:rPr>
      <w:color w:val="0000ff" w:themeColor="hyperlink"/>
      <w:u w:val="single"/>
    </w:rPr>
  </w:style>
  <w:style w:type="table" w:styleId="656">
    <w:name w:val="Table Grid"/>
    <w:basedOn w:val="641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57">
    <w:name w:val="Caption"/>
    <w:basedOn w:val="635"/>
    <w:next w:val="635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658" w:customStyle="1">
    <w:name w:val="Без интервала Знак"/>
    <w:basedOn w:val="640"/>
    <w:link w:val="659"/>
    <w:uiPriority w:val="1"/>
    <w:rPr>
      <w:rFonts w:ascii="Times New Roman" w:hAnsi="Times New Roman" w:cs="Times New Roman"/>
    </w:rPr>
  </w:style>
  <w:style w:type="paragraph" w:styleId="659">
    <w:name w:val="No Spacing"/>
    <w:link w:val="658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660">
    <w:name w:val="Body Text"/>
    <w:basedOn w:val="635"/>
    <w:link w:val="661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661" w:customStyle="1">
    <w:name w:val="Основной текст Знак"/>
    <w:basedOn w:val="640"/>
    <w:link w:val="660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662">
    <w:name w:val="List Paragraph"/>
    <w:basedOn w:val="635"/>
    <w:uiPriority w:val="1"/>
    <w:qFormat/>
    <w:pPr>
      <w:ind w:left="442" w:hanging="360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table" w:styleId="663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64" w:customStyle="1">
    <w:name w:val="Заголовок 21"/>
    <w:basedOn w:val="635"/>
    <w:uiPriority w:val="1"/>
    <w:qFormat/>
    <w:pPr>
      <w:ind w:left="1150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665" w:customStyle="1">
    <w:name w:val="Table Paragraph"/>
    <w:basedOn w:val="635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5e2e" TargetMode="External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5e2e" TargetMode="External"/><Relationship Id="rId16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7e18" TargetMode="External"/><Relationship Id="rId21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7e18" TargetMode="External"/><Relationship Id="rId26" Type="http://schemas.openxmlformats.org/officeDocument/2006/relationships/hyperlink" Target="https://m.edsoo.ru/7f417e18" TargetMode="External"/><Relationship Id="rId27" Type="http://schemas.openxmlformats.org/officeDocument/2006/relationships/hyperlink" Target="https://m.edsoo.ru/7f417e18" TargetMode="External"/><Relationship Id="rId28" Type="http://schemas.openxmlformats.org/officeDocument/2006/relationships/hyperlink" Target="https://m.edsoo.ru/7f417e18" TargetMode="External"/><Relationship Id="rId29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7f41a12c" TargetMode="External"/><Relationship Id="rId32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7f41a12c" TargetMode="External"/><Relationship Id="rId34" Type="http://schemas.openxmlformats.org/officeDocument/2006/relationships/hyperlink" Target="https://m.edsoo.ru/7f41a12c" TargetMode="External"/><Relationship Id="rId35" Type="http://schemas.openxmlformats.org/officeDocument/2006/relationships/hyperlink" Target="https://m.edsoo.ru/7f41a12c" TargetMode="External"/><Relationship Id="rId3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7f41a12c" TargetMode="External"/><Relationship Id="rId3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7f41a12c" TargetMode="External"/><Relationship Id="rId44" Type="http://schemas.openxmlformats.org/officeDocument/2006/relationships/hyperlink" Target="https://m.edsoo.ru/7f41a12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10</cp:revision>
  <dcterms:created xsi:type="dcterms:W3CDTF">2023-09-19T08:49:00Z</dcterms:created>
  <dcterms:modified xsi:type="dcterms:W3CDTF">2024-09-20T05:34:11Z</dcterms:modified>
</cp:coreProperties>
</file>