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91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(ID 597002)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предмета «Химия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»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для обучающихся 8 – 9 классов 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bookmarkStart w:id="1" w:name="block-4201627"/>
      <w:r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чебного предмета «Химия» (далее 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на уровне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основного общего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для обучени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учащихся 8-9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планируемые результаты освоения учебного предмета «Химия» на уровне основного общего образования;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содержание учебного предмета «Химия» по классам;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тематическое планирование, в том числе с учетом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внутрипредметных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распространила своё влияние на все области человеческого существования, задала новое 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 в основной школе является базовым по отношению к системе общего химическог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воспитания и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средствами учебного предмета «Химия».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атомно­-молекулярного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Периодического закона Д. И. 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1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lang w:val="ru-RU"/>
        </w:rPr>
      </w:r>
      <w:r>
        <w:rPr>
          <w:rFonts w:ascii="Liberation Serif" w:hAnsi="Liberation Serif" w:eastAsia="Calibri" w:cs="Liberation Serif"/>
          <w:sz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учебных недель: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8-9 классы - 34 учебные недели.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«Химия»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«Химия» как часть предметной области «Естественно-научные предметы» изучается на уровне основного общего образования в качестве обязательного предмета в 8-9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Нормативный срок реализации РПУП «Химия» на уровне основного общего образования составляет 2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Недельное количество часов, отводимое на изучение химии, опред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еляется учебным планом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утверждённым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приказом ГОУ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РК «РЦО».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предмета «Химия» составляет 68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часов при групповой форме организации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pPr w:horzAnchor="margin" w:tblpX="40" w:vertAnchor="text" w:tblpY="181" w:leftFromText="180" w:topFromText="0" w:rightFromText="180" w:bottomFromText="0"/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8"/>
        <w:gridCol w:w="2029"/>
        <w:gridCol w:w="1418"/>
        <w:gridCol w:w="1842"/>
        <w:gridCol w:w="1560"/>
        <w:gridCol w:w="1559"/>
      </w:tblGrid>
      <w:tr>
        <w:tblPrEx/>
        <w:trPr>
          <w:trHeight w:val="26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988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Классы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3447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 в </w:t>
            </w:r>
            <w:r>
              <w:rPr>
                <w:rFonts w:ascii="Liberation Serif" w:hAnsi="Liberation Serif" w:cs="Liberation Serif"/>
              </w:rPr>
              <w:t xml:space="preserve">неделю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     </w:t>
            </w:r>
            <w:r>
              <w:rPr>
                <w:rFonts w:ascii="Liberation Serif" w:hAnsi="Liberation Serif" w:cs="Liberation Serif"/>
              </w:rPr>
              <w:t xml:space="preserve">учебных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недель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  <w:t xml:space="preserve"> в </w:t>
            </w:r>
            <w:r>
              <w:rPr>
                <w:rFonts w:ascii="Liberation Serif" w:hAnsi="Liberation Serif" w:cs="Liberation Serif"/>
              </w:rPr>
              <w:t xml:space="preserve">год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ffffff"/>
            <w:tcBorders>
              <w:left w:val="single" w:color="auto" w:sz="6" w:space="0"/>
              <w:right w:val="single" w:color="auto" w:sz="6" w:space="0"/>
            </w:tcBorders>
            <w:tcW w:w="988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029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Заочно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7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029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8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02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9" w:hRule="exact"/>
        </w:trPr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7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  <w:t xml:space="preserve">: 68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right="-1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шаростержневых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длиннопериодная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хлороводорода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учебно­исследовательской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массовая доля химического элемента в соединении, молярный объём, оксид, кислота, основание, соль,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орбиталь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электроотрицательность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неэлектролиты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путём хлорид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бромид-, иодид-, карбонат-, фосфат-, силикат-, сульфат-,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head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2" w:name="block-4201625"/>
      <w:r/>
      <w:bookmarkEnd w:id="1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tabs>
          <w:tab w:val="left" w:pos="1785" w:leader="none"/>
        </w:tabs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68 уроков (2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– 1 час очно, 1 час - заочно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232"/>
        <w:gridCol w:w="832"/>
        <w:gridCol w:w="1721"/>
        <w:gridCol w:w="1791"/>
        <w:gridCol w:w="26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3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​‌‌​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Учебники: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4"/>
        <w:numPr>
          <w:ilvl w:val="0"/>
          <w:numId w:val="6"/>
        </w:numPr>
        <w:ind w:left="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8 класс, Москва «Просвещение» 2022г.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4"/>
        <w:numPr>
          <w:ilvl w:val="0"/>
          <w:numId w:val="6"/>
        </w:numPr>
        <w:ind w:left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Н.И. Кузнецова, И.М. Титова, Н.Н.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Химия 9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асс, Москва «Просвещение» 2022 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87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2"/>
    <w:link w:val="868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2"/>
    <w:link w:val="869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872"/>
    <w:link w:val="870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872"/>
    <w:link w:val="871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67"/>
    <w:next w:val="867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2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67"/>
    <w:next w:val="867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67"/>
    <w:next w:val="867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2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67"/>
    <w:next w:val="867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2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67"/>
    <w:next w:val="867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2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716">
    <w:name w:val="Title Char"/>
    <w:basedOn w:val="872"/>
    <w:link w:val="884"/>
    <w:uiPriority w:val="10"/>
    <w:rPr>
      <w:sz w:val="48"/>
      <w:szCs w:val="48"/>
    </w:rPr>
  </w:style>
  <w:style w:type="character" w:styleId="717">
    <w:name w:val="Subtitle Char"/>
    <w:basedOn w:val="872"/>
    <w:link w:val="882"/>
    <w:uiPriority w:val="11"/>
    <w:rPr>
      <w:sz w:val="24"/>
      <w:szCs w:val="24"/>
    </w:rPr>
  </w:style>
  <w:style w:type="paragraph" w:styleId="718">
    <w:name w:val="Quote"/>
    <w:basedOn w:val="867"/>
    <w:next w:val="867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67"/>
    <w:next w:val="867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2"/>
    <w:link w:val="875"/>
    <w:uiPriority w:val="99"/>
  </w:style>
  <w:style w:type="character" w:styleId="723">
    <w:name w:val="Footer Char"/>
    <w:basedOn w:val="872"/>
    <w:link w:val="892"/>
    <w:uiPriority w:val="99"/>
  </w:style>
  <w:style w:type="character" w:styleId="724">
    <w:name w:val="Caption Char"/>
    <w:basedOn w:val="889"/>
    <w:link w:val="892"/>
    <w:uiPriority w:val="99"/>
  </w:style>
  <w:style w:type="table" w:styleId="725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72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72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paragraph" w:styleId="868">
    <w:name w:val="Heading 1"/>
    <w:basedOn w:val="867"/>
    <w:next w:val="867"/>
    <w:link w:val="87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9">
    <w:name w:val="Heading 2"/>
    <w:basedOn w:val="867"/>
    <w:next w:val="867"/>
    <w:link w:val="87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0">
    <w:name w:val="Heading 3"/>
    <w:basedOn w:val="867"/>
    <w:next w:val="867"/>
    <w:link w:val="87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1">
    <w:name w:val="Heading 4"/>
    <w:basedOn w:val="867"/>
    <w:next w:val="867"/>
    <w:link w:val="88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Header"/>
    <w:basedOn w:val="867"/>
    <w:link w:val="87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6" w:customStyle="1">
    <w:name w:val="Верхний колонтитул Знак"/>
    <w:basedOn w:val="872"/>
    <w:link w:val="875"/>
    <w:uiPriority w:val="99"/>
  </w:style>
  <w:style w:type="character" w:styleId="877" w:customStyle="1">
    <w:name w:val="Заголовок 1 Знак"/>
    <w:basedOn w:val="872"/>
    <w:link w:val="86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8" w:customStyle="1">
    <w:name w:val="Заголовок 2 Знак"/>
    <w:basedOn w:val="872"/>
    <w:link w:val="86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9" w:customStyle="1">
    <w:name w:val="Заголовок 3 Знак"/>
    <w:basedOn w:val="872"/>
    <w:link w:val="87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0" w:customStyle="1">
    <w:name w:val="Заголовок 4 Знак"/>
    <w:basedOn w:val="872"/>
    <w:link w:val="87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1">
    <w:name w:val="Normal Indent"/>
    <w:basedOn w:val="867"/>
    <w:uiPriority w:val="99"/>
    <w:unhideWhenUsed/>
    <w:pPr>
      <w:ind w:left="720"/>
    </w:pPr>
  </w:style>
  <w:style w:type="paragraph" w:styleId="882">
    <w:name w:val="Subtitle"/>
    <w:basedOn w:val="867"/>
    <w:next w:val="867"/>
    <w:link w:val="88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3" w:customStyle="1">
    <w:name w:val="Подзаголовок Знак"/>
    <w:basedOn w:val="872"/>
    <w:link w:val="88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4">
    <w:name w:val="Title"/>
    <w:basedOn w:val="867"/>
    <w:next w:val="867"/>
    <w:link w:val="88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5" w:customStyle="1">
    <w:name w:val="Заголовок Знак"/>
    <w:basedOn w:val="872"/>
    <w:link w:val="88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6">
    <w:name w:val="Emphasis"/>
    <w:basedOn w:val="872"/>
    <w:uiPriority w:val="20"/>
    <w:qFormat/>
    <w:rPr>
      <w:i/>
      <w:iCs/>
    </w:rPr>
  </w:style>
  <w:style w:type="character" w:styleId="887">
    <w:name w:val="Hyperlink"/>
    <w:basedOn w:val="872"/>
    <w:uiPriority w:val="99"/>
    <w:unhideWhenUsed/>
    <w:rPr>
      <w:color w:val="0563c1" w:themeColor="hyperlink"/>
      <w:u w:val="single"/>
    </w:rPr>
  </w:style>
  <w:style w:type="table" w:styleId="888">
    <w:name w:val="Table Grid"/>
    <w:basedOn w:val="87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9">
    <w:name w:val="Caption"/>
    <w:basedOn w:val="867"/>
    <w:next w:val="86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90" w:customStyle="1">
    <w:name w:val="Без интервала Знак"/>
    <w:basedOn w:val="872"/>
    <w:link w:val="891"/>
    <w:uiPriority w:val="1"/>
    <w:rPr>
      <w:rFonts w:ascii="Times New Roman" w:hAnsi="Times New Roman" w:cs="Times New Roman" w:eastAsiaTheme="minorEastAsia"/>
    </w:rPr>
  </w:style>
  <w:style w:type="paragraph" w:styleId="891">
    <w:name w:val="No Spacing"/>
    <w:link w:val="89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2">
    <w:name w:val="Footer"/>
    <w:basedOn w:val="867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72"/>
    <w:link w:val="892"/>
    <w:uiPriority w:val="99"/>
  </w:style>
  <w:style w:type="paragraph" w:styleId="894">
    <w:name w:val="List Paragraph"/>
    <w:basedOn w:val="867"/>
    <w:uiPriority w:val="99"/>
    <w:pPr>
      <w:contextualSpacing/>
      <w:ind w:left="720"/>
    </w:pPr>
  </w:style>
  <w:style w:type="paragraph" w:styleId="895" w:customStyle="1">
    <w:name w:val="ConsPlusNormal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E544-B704-4596-80C1-01D9B24D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18</cp:revision>
  <dcterms:created xsi:type="dcterms:W3CDTF">2023-09-06T17:55:00Z</dcterms:created>
  <dcterms:modified xsi:type="dcterms:W3CDTF">2024-09-20T13:14:15Z</dcterms:modified>
</cp:coreProperties>
</file>