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0" w:name="block-4201626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87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87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87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87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87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87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87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87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7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87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7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7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87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87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7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7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8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color w:val="000000"/>
          <w:sz w:val="28"/>
          <w:lang w:val="ru-RU"/>
        </w:rPr>
        <w:t xml:space="preserve">(ID 597002)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учебного 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предмета «Химия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»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для обучающихся 8 – 9 классов 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head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Сыктывкар 2024</w:t>
      </w:r>
      <w:bookmarkStart w:id="1" w:name="block-4201627"/>
      <w:r/>
      <w:bookmarkEnd w:id="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чебного предмета «Химия» (далее 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РПУП) на уровне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основного общего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образования для обучени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учащихся 8-9 классов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Лозымскго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филиала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ГОУ РК «РЦО» составлена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соответствии с требованиями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Федерального государственного образовательного стандарта основного общего образования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 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РПУП содержит: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планируемые результаты освоения учебного предмета «Химия» на уровне основного общего образования;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содержание учебного предмета «Химия» по классам;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тематическое планирование, в том числе с учетом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химии на уровне основного общего образования составлена на основе требований к результатам освоения основно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внутрипредметных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Вклад учебного предмета «Химия» в достижение целей основного общего образования обусловлен во многом значением химической науки в познании законов природы, в развитии производительных сил общества и создании новой базы материальной культуры.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Химия как элемент системы естественных наук распространила своё влияние на все области человеческого существования, задала новое вид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мира, стала неотъемлемым компонентом мировой культуры, необходимым условием жизни общества: знание химии служит основой для формирования мировоззрения человека, его представлений о материальном единстве мира; важную роль играют формируемые химией пред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ставления о взаимопревращениях энергии и об эволюции веществ в природе; современная химия направлена на решение глобальных проблем устойчивого развития человечества — сырьевой, энергетической, пищевой и экологической безопасности, проблем здравоохранения.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условиях возрастающего значения химии в жизни общества существенно повысилась роль химического образования. В плане социализации оно является одним из условий формирования интеллекта личности и гармоничного её развития.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Современному человеку химические знания необходимы для приобретения общекультурного уровня, позволяющего уверенно трудиться в социуме и ответственно участ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вовать в многообразной жизни общества, для осознания важности разумного отношения к своему здоровью и здоровью других, к окружающей природной среде, для грамотного поведения при использовании различных материалов и химических веществ в повседневной жизни.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Химическое образование в основной школе является базовым по отношению к системе общего химическог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образования. Поэтому на соответствующем ему уровне оно реализует присущие общему химическому образованию ключевые ценности, которые отражают государственные, общественные и индивидуальные потребности. Этим определяется сущность общей стратегии обучения,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воспитания и развития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обучающихся средствами учебного предмета «Химия».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химии служит основой для формирования мировоззрения обучающегося, его представлений о материальном единстве мира, важную роль играю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химии: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содержания программы по химии сформирована на основе системного подхода к её изучению.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атомно­-молекулярного учения как основы всего естествознания;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Периодического закона Д. И. Менделеева как основного закона химии;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учения о строении атома и химической связи;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представлений об электролитической диссоциации веществ в растворах.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 объяснения и прогнозирования свойств, строения и возможностей практического применения и получения изучаемых веществ.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87"/>
        <w:ind w:firstLine="567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lang w:val="ru-RU"/>
        </w:rPr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lang w:val="ru-RU"/>
        </w:rPr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lang w:val="ru-RU"/>
        </w:rPr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lang w:val="ru-RU"/>
        </w:rPr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lang w:val="ru-RU"/>
        </w:rPr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lang w:val="ru-RU"/>
        </w:rPr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lang w:val="ru-RU"/>
        </w:rPr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lang w:val="ru-RU"/>
        </w:rPr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   </w:t>
      </w: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изучения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изучении химии на уровне основного общего образования важное значение приобрели такие цели, как: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формирование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333333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Лозымском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филиале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реализация рабочей программы учебного предмета «Химия»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Форма обучения – 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Количество контрольных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  <w:tab/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Количество учебных недель: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8-9 классы - 34 учебные недели.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right="-286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Место учебного предмета «Химия» в учебном плане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Учебный предмет «Химия» как часть предметной области «Естественно-научные предметы» изучается на уровне основного общего образования в качестве обязательного предмета в 8-9 классах.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Нормативный срок реализации РПУП «Химия» на уровне основного общего образования составляет 2 года.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Недельное количество часов, отводимое на изучение химии, опред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еляется учебным планом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Лозымского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филиала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утверждённым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приказом ГОУ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РК «РЦО».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количество учебных часов на изучение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учебного предмета «Химия» составляет 68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часов при групповой форме организации обучения.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9 классе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Лозымском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филиале ГОУ РК «РЦО» предусмотрена только индивидуал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ьная форма организации обучения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0,5 часа в неделю очно.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pPr w:horzAnchor="margin" w:tblpX="40" w:vertAnchor="text" w:tblpY="181" w:leftFromText="180" w:topFromText="0" w:rightFromText="180" w:bottomFromText="0"/>
        <w:tblW w:w="939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88"/>
        <w:gridCol w:w="2029"/>
        <w:gridCol w:w="1418"/>
        <w:gridCol w:w="1842"/>
        <w:gridCol w:w="1560"/>
        <w:gridCol w:w="1559"/>
      </w:tblGrid>
      <w:tr>
        <w:tblPrEx/>
        <w:trPr>
          <w:trHeight w:val="269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988" w:type="dxa"/>
            <w:vMerge w:val="restart"/>
            <w:textDirection w:val="lrTb"/>
            <w:noWrap w:val="false"/>
          </w:tcPr>
          <w:p>
            <w:pPr>
              <w:pStyle w:val="88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Классы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W w:w="3447" w:type="dxa"/>
            <w:textDirection w:val="lrTb"/>
            <w:noWrap w:val="false"/>
          </w:tcPr>
          <w:p>
            <w:pPr>
              <w:pStyle w:val="88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Количество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часов</w:t>
            </w:r>
            <w:r>
              <w:rPr>
                <w:rFonts w:ascii="Liberation Serif" w:hAnsi="Liberation Serif" w:cs="Liberation Serif"/>
              </w:rPr>
              <w:t xml:space="preserve">  в </w:t>
            </w:r>
            <w:r>
              <w:rPr>
                <w:rFonts w:ascii="Liberation Serif" w:hAnsi="Liberation Serif" w:cs="Liberation Serif"/>
              </w:rPr>
              <w:t xml:space="preserve">неделю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842" w:type="dxa"/>
            <w:vMerge w:val="restart"/>
            <w:textDirection w:val="lrTb"/>
            <w:noWrap w:val="false"/>
          </w:tcPr>
          <w:p>
            <w:pPr>
              <w:pStyle w:val="88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Количество</w:t>
            </w:r>
            <w:r>
              <w:rPr>
                <w:rFonts w:ascii="Liberation Serif" w:hAnsi="Liberation Serif" w:cs="Liberation Serif"/>
              </w:rPr>
              <w:t xml:space="preserve">      </w:t>
            </w:r>
            <w:r>
              <w:rPr>
                <w:rFonts w:ascii="Liberation Serif" w:hAnsi="Liberation Serif" w:cs="Liberation Serif"/>
              </w:rPr>
              <w:t xml:space="preserve">учебных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недель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pStyle w:val="88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Количество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часов</w:t>
            </w:r>
            <w:r>
              <w:rPr>
                <w:rFonts w:ascii="Liberation Serif" w:hAnsi="Liberation Serif" w:cs="Liberation Serif"/>
              </w:rPr>
              <w:t xml:space="preserve"> в </w:t>
            </w:r>
            <w:r>
              <w:rPr>
                <w:rFonts w:ascii="Liberation Serif" w:hAnsi="Liberation Serif" w:cs="Liberation Serif"/>
              </w:rPr>
              <w:t xml:space="preserve">год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17"/>
        </w:trPr>
        <w:tc>
          <w:tcPr>
            <w:shd w:val="clear" w:color="auto" w:fill="ffffff"/>
            <w:tcBorders>
              <w:left w:val="single" w:color="auto" w:sz="6" w:space="0"/>
              <w:right w:val="single" w:color="auto" w:sz="6" w:space="0"/>
            </w:tcBorders>
            <w:tcW w:w="988" w:type="dxa"/>
            <w:vMerge w:val="continue"/>
            <w:textDirection w:val="lrTb"/>
            <w:noWrap w:val="false"/>
          </w:tcPr>
          <w:p>
            <w:pPr>
              <w:pStyle w:val="88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bottom w:val="none" w:color="000000" w:sz="4" w:space="0"/>
              <w:right w:val="single" w:color="auto" w:sz="4" w:space="0"/>
            </w:tcBorders>
            <w:tcW w:w="2029" w:type="dxa"/>
            <w:vMerge w:val="restart"/>
            <w:textDirection w:val="lrTb"/>
            <w:noWrap w:val="false"/>
          </w:tcPr>
          <w:p>
            <w:pPr>
              <w:pStyle w:val="88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Очно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pStyle w:val="88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Заочно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842" w:type="dxa"/>
            <w:vMerge w:val="continue"/>
            <w:textDirection w:val="lrTb"/>
            <w:noWrap w:val="false"/>
          </w:tcPr>
          <w:p>
            <w:pPr>
              <w:pStyle w:val="88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560" w:type="dxa"/>
            <w:vMerge w:val="restart"/>
            <w:textDirection w:val="lrTb"/>
            <w:noWrap w:val="false"/>
          </w:tcPr>
          <w:p>
            <w:pPr>
              <w:pStyle w:val="88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Очно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6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88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Заочно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67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88" w:type="dxa"/>
            <w:textDirection w:val="lrTb"/>
            <w:noWrap w:val="false"/>
          </w:tcPr>
          <w:p>
            <w:pPr>
              <w:pStyle w:val="88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tcW w:w="2029" w:type="dxa"/>
            <w:vMerge w:val="continue"/>
            <w:textDirection w:val="lrTb"/>
            <w:noWrap w:val="false"/>
          </w:tcPr>
          <w:p>
            <w:pPr>
              <w:pStyle w:val="88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1418" w:type="dxa"/>
            <w:vMerge w:val="continue"/>
            <w:textDirection w:val="lrTb"/>
            <w:noWrap w:val="false"/>
          </w:tcPr>
          <w:p>
            <w:pPr>
              <w:pStyle w:val="88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1842" w:type="dxa"/>
            <w:vMerge w:val="continue"/>
            <w:textDirection w:val="lrTb"/>
            <w:noWrap w:val="false"/>
          </w:tcPr>
          <w:p>
            <w:pPr>
              <w:pStyle w:val="88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1560" w:type="dxa"/>
            <w:vMerge w:val="continue"/>
            <w:textDirection w:val="lrTb"/>
            <w:noWrap w:val="false"/>
          </w:tcPr>
          <w:p>
            <w:pPr>
              <w:pStyle w:val="88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pStyle w:val="88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77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88" w:type="dxa"/>
            <w:textDirection w:val="lrTb"/>
            <w:noWrap w:val="false"/>
          </w:tcPr>
          <w:p>
            <w:pPr>
              <w:pStyle w:val="88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W w:w="2029" w:type="dxa"/>
            <w:textDirection w:val="lrTb"/>
            <w:noWrap w:val="false"/>
          </w:tcPr>
          <w:p>
            <w:pPr>
              <w:pStyle w:val="88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pStyle w:val="88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pStyle w:val="88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88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pStyle w:val="88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99" w:hRule="exact"/>
        </w:trPr>
        <w:tc>
          <w:tcPr>
            <w:gridSpan w:val="4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77" w:type="dxa"/>
            <w:textDirection w:val="lrTb"/>
            <w:noWrap w:val="false"/>
          </w:tcPr>
          <w:p>
            <w:pPr>
              <w:pStyle w:val="88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                                       </w:t>
            </w:r>
            <w:r>
              <w:rPr>
                <w:rFonts w:ascii="Liberation Serif" w:hAnsi="Liberation Serif" w:cs="Liberation Serif"/>
              </w:rPr>
              <w:t xml:space="preserve">                      </w:t>
            </w:r>
            <w:r>
              <w:rPr>
                <w:rFonts w:ascii="Liberation Serif" w:hAnsi="Liberation Serif" w:cs="Liberation Serif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  <w:t xml:space="preserve">: 68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887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887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right="-1" w:firstLine="709"/>
        <w:jc w:val="both"/>
        <w:spacing w:after="0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-1" w:firstLine="709"/>
        <w:jc w:val="both"/>
        <w:spacing w:after="0"/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Рабочая программа учитывает специфику обучения учащихся, находящихся на длительном лечении в государственных медицинских организациях РК, предусматривает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индивидуальную форму организации обучения в 8-9 классах по 0,5 часов в неделю на одного ученика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согласно учебному плану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Лозымского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филиала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Первоначальные химические понятия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Атомы и молекулы. Химические элементы. Символы химических элементов. Простые и сложные вещества. Атомно-молекулярное учение.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химической посудой, правилами работы в лаборатории и приёмами обращения с лабораторным оборудованием, изучени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шаростержневых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Важнейшие представители неорганических веществ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Воздух – смесь газов. Состав воздуха. Кислород – элемент и простое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Молярный объём газов. Расчёты по химическим уравнениям.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Физические свойства воды. Вода как растворитель. Растворы. Насыщенные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Соли. Номенклатура солей. Физические и химические свойства солей. Получение солей.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Генетическая связь между классами неорганических соединений.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-восстановительные реакции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длиннопериодная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Химическая связь. Ковалентная (полярная и неполярная) связь.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Электроотрицательность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химических элементов. Ионная связь.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Степень окисления.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­-восстановительные реакции. Процессы окисления и восстановления. Окислители и восстановители.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-восстановительных реакций (горение, реакции разложения, соединения).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Межпредметные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Биология: фотосинтез, дыхание, биосфера.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География: атмосфера, гидросфера, минералы, горные породы, полезные ископаемые, топливо, водные ресурсы.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Вещество и химическая реакция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Периодический закон. Периодическая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химических реа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скорости хим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-восстановительные реакции, электронный баланс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-восстановительной реакции. Составление уравнений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­-восстановительных реакций с использованием метода электронного баланса.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Теория электролитической диссоциации. Электролиты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неэлектролиты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Катионы, анионы. Механизм диссоциации веществ с различными видами химической связи. Степень диссоциации. Сильные и слабые электролиты.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Реакц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ознакомление с моделями крис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Неметаллы и их соединения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Хлороводород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Соляная кислота, химические свойства, получение, применение. Действие хлора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хлороводорода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организм человека. Важнейшие хлориды и их нахождение в природе.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элементов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VIА-группы.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элементов VА-группы. Особенности строения атомов, характерные степени окисления. Азот, распространение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элементов IVА-группы. Особенности строения атомов, характерные степени окисления. Углерод, аллотропные модификации, распространение в природ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Кремний, его физические и химические свойства, получение и применение. Соединения кремния в природе. Общие представления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оксиде кремния (IV)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Металлы и их соединения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Щелочные металлы: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Щелочноземельные металлы магний и кальций: поло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наблюдение и опис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Химия и окружающая среда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образцов материалов (стекло, сплавы металлов, полимерные материалы).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Межпредметные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Физика: материя, атом, электрон, протон, нейтрон, ион, нуклид, изотопы, радиоактивность, молекула, электрический заряд, пров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Биология: фотосинтез, дыхание, биосфера, экосистема, минеральные удобрения, микроэлементы, макроэлементы, питательные вещества.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География: атмосфера, гидросфера, минералы, горные породы, полезные ископаемые, топливо, водные ресурсы.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ПО ХИМИИ НА УРОВНЕ ОСНОВНОГО ОБЩЕГО ОБРАЗОВАНИЯ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ценностного отношения к отечественному культурному, историческому и научному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учебно­исследовательской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мировоззренческие представления о веществе и химической реакции, соответств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мотивы, направленные на получение новых знаний по химии, необходим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формирования культуры здоровья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жизни, ответственного отношения к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экологически целесообразное отношение к природе как источнику жизни на Земле, основе её существования, понимание ценнос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способности применять знания, получаемые при изучении химии, для решения задач, связанных с окружающей природной средой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составе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результатов выдел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применять в процессе познания понятия (предметные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результат, формулировать обобщения и выводы по результатам проведённого опыта, исследования, составлять отчёт о проделанной работе.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выбирать, анализировать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учебного сотрудничества со сверстниками в совместной познавательной и исследователь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самостоятельно определять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обучающихся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массовая доля химического элемента в соединении, молярный объём, оксид, кислота, основание, соль,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электроотрицательность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орбиталь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иллюстрировать взаимосвязь основных химических понятий и применять эти понятия при описании веществ и их превращений;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химическую символику для составления формул веществ и уравнений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Периоди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основные операции мыслительной деятельности – анализ и синтез,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9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обучающихся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электроотрицательность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неэлектролиты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-восстановительные реакции, окислител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иллюстрировать взаимосвязь основных химических понятий и применять эти понятия при описании веществ и их превращений;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химическую символику для составления формул веществ и уравнений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валентность и степень окисления химических элементов в соединениях различного состава, принадлежность веществ к определённому классу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Периодического закона Д. И. Менделеева и демонстрировать его понимание: описывать и характеризовать табличную форму Периодиче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сущность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-восстановительных реакций посредством составления электронного баланса этих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свойства веществ в зависимости от их строения, возможности протекания химических превращений в различных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реакции, подтверждающие качественный состав различных веществ: распознавать опытным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путём хлорид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бромид-, иодид-, карбонат-, фосфат-, силикат-, сульфат-,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гидроксид-ионы, катионы аммония и ионы изученных металлов, присутствующие в водных растворах неорганических веществ;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основные операции мыслительной деятельности – 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  <w:sectPr>
          <w:headerReference w:type="default" r:id="rId10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bookmarkStart w:id="2" w:name="block-4201625"/>
      <w:r/>
      <w:bookmarkEnd w:id="1"/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tabs>
          <w:tab w:val="left" w:pos="1785" w:leader="none"/>
        </w:tabs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jc w:val="center"/>
        <w:spacing w:after="0" w:line="240" w:lineRule="auto"/>
        <w:tabs>
          <w:tab w:val="left" w:pos="1785" w:leader="none"/>
        </w:tabs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68 уроков (2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час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в неделю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– 1 час очно, 1 час - заочно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)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232"/>
        <w:gridCol w:w="832"/>
        <w:gridCol w:w="1721"/>
        <w:gridCol w:w="1791"/>
        <w:gridCol w:w="260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23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60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Первоначальные химические понятия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Химия — важная область естествознания и практической деятельности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Вещества и химические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Важнейшие представители неорганических веществ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Воздух. Кислород. Понятие об оксидах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Водород.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Понятие о кислотах и солях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Вода. Растворы. Понятие об основаниях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Основные классы неорганических соединений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Строение атомов. Химическая связь.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Окислительно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-восстановительные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Менделе­ева. Строение атома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Химическая связь.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Окислительно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-восстановительные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tabs>
          <w:tab w:val="left" w:pos="1785" w:leader="none"/>
        </w:tabs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 (0,5 часа очно в неделю)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232"/>
        <w:gridCol w:w="832"/>
        <w:gridCol w:w="1721"/>
        <w:gridCol w:w="1791"/>
        <w:gridCol w:w="260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23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60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Первоначальные химические понятия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Химия — важная область естествознания и практической деятельности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Вещества и химические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Важнейшие представители неорганических веществ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Воздух. Кислород. Понятие об оксидах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Водород.Понятие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о кислотах и солях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Вода. Растворы. Понятие об основаниях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Основные классы неорганических соединений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15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Строение атомов. Химическая связь.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Окислительно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-восстановительные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Менделе­ева. Строение атома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Химическая связь.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Окислительно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восстановительные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И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ндивидуал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 (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0,5 часа очно в неделю)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283"/>
        <w:gridCol w:w="833"/>
        <w:gridCol w:w="1706"/>
        <w:gridCol w:w="1775"/>
        <w:gridCol w:w="258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2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58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Вещество и химические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Повторение и углубление знаний основных разделов курса 8 класса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Основные закономерности химических реакций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Электролитическая диссоциация. Химические реакции в растворах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0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Неметаллы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Общая характеристика химических элементов VIIА-группы. Галогены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Общая характеристика химических элементов VIА-группы. Сера и её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Общая характеристика химических элементов VА-группы. Азот, фосфор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Общая характеристика химических элементов IVА-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группы. Углерод и кремний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0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Металлы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Общие свойства металлов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Важнейшие металлы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0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Химия и окружающая среда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Вещества и материалы в жизни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0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</w:t>
            </w:r>
            <w:bookmarkStart w:id="3" w:name="_GoBack"/>
            <w:r/>
            <w:bookmarkEnd w:id="3"/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firstLine="708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8"/>
          <w:lang w:val="ru-RU"/>
        </w:rPr>
        <w:t xml:space="preserve">​‌‌​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Учебники: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90"/>
        <w:numPr>
          <w:ilvl w:val="0"/>
          <w:numId w:val="6"/>
        </w:numPr>
        <w:ind w:left="0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Н.И. Кузнецова, И.М. Титова, Н.Н.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Гара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Химия 8 класс, Москва «Просвещение» 2022г.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90"/>
        <w:numPr>
          <w:ilvl w:val="0"/>
          <w:numId w:val="6"/>
        </w:numPr>
        <w:ind w:left="0"/>
        <w:rPr>
          <w:rFonts w:ascii="Liberation Serif" w:hAnsi="Liberation Serif" w:cs="Liberation Serif"/>
          <w:color w:val="000000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Н.И. Кузнецова, И.М. Титова, Н.Н.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Гара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Химия 9 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асс, Москва «Просвещение» 2022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/>
      <w:bookmarkStart w:id="4" w:name="block-4201631"/>
      <w:r/>
      <w:bookmarkEnd w:id="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bookmarkEnd w:id="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sectPr>
      <w:footnotePr/>
      <w:endnotePr/>
      <w:type w:val="nextPage"/>
      <w:pgSz w:w="11907" w:h="16839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  <w:p>
    <w:pPr>
      <w:pStyle w:val="871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  <w:p>
    <w:pPr>
      <w:pStyle w:val="871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360"/>
      </w:pPr>
      <w:rPr>
        <w:rFonts w:ascii="Times New Roman" w:hAnsi="Times New Roman" w:eastAsiaTheme="minorHAnsi" w:cstheme="minorBidi"/>
      </w:rPr>
    </w:lvl>
    <w:lvl w:ilvl="1">
      <w:start w:val="1"/>
      <w:numFmt w:val="lowerLetter"/>
      <w:isLgl w:val="false"/>
      <w:suff w:val="tab"/>
      <w:lvlText w:val="%2."/>
      <w:lvlJc w:val="left"/>
      <w:pPr>
        <w:ind w:left="12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4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4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8">
    <w:name w:val="Heading 1 Char"/>
    <w:basedOn w:val="868"/>
    <w:link w:val="864"/>
    <w:uiPriority w:val="9"/>
    <w:rPr>
      <w:rFonts w:ascii="Arial" w:hAnsi="Arial" w:eastAsia="Arial" w:cs="Arial"/>
      <w:sz w:val="40"/>
      <w:szCs w:val="40"/>
    </w:rPr>
  </w:style>
  <w:style w:type="character" w:styleId="699">
    <w:name w:val="Heading 2 Char"/>
    <w:basedOn w:val="868"/>
    <w:link w:val="865"/>
    <w:uiPriority w:val="9"/>
    <w:rPr>
      <w:rFonts w:ascii="Arial" w:hAnsi="Arial" w:eastAsia="Arial" w:cs="Arial"/>
      <w:sz w:val="34"/>
    </w:rPr>
  </w:style>
  <w:style w:type="character" w:styleId="700">
    <w:name w:val="Heading 3 Char"/>
    <w:basedOn w:val="868"/>
    <w:link w:val="866"/>
    <w:uiPriority w:val="9"/>
    <w:rPr>
      <w:rFonts w:ascii="Arial" w:hAnsi="Arial" w:eastAsia="Arial" w:cs="Arial"/>
      <w:sz w:val="30"/>
      <w:szCs w:val="30"/>
    </w:rPr>
  </w:style>
  <w:style w:type="character" w:styleId="701">
    <w:name w:val="Heading 4 Char"/>
    <w:basedOn w:val="868"/>
    <w:link w:val="867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63"/>
    <w:next w:val="863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basedOn w:val="868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63"/>
    <w:next w:val="863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basedOn w:val="868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63"/>
    <w:next w:val="863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basedOn w:val="868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63"/>
    <w:next w:val="863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basedOn w:val="868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63"/>
    <w:next w:val="863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basedOn w:val="868"/>
    <w:link w:val="710"/>
    <w:uiPriority w:val="9"/>
    <w:rPr>
      <w:rFonts w:ascii="Arial" w:hAnsi="Arial" w:eastAsia="Arial" w:cs="Arial"/>
      <w:i/>
      <w:iCs/>
      <w:sz w:val="21"/>
      <w:szCs w:val="21"/>
    </w:rPr>
  </w:style>
  <w:style w:type="character" w:styleId="712">
    <w:name w:val="Title Char"/>
    <w:basedOn w:val="868"/>
    <w:link w:val="880"/>
    <w:uiPriority w:val="10"/>
    <w:rPr>
      <w:sz w:val="48"/>
      <w:szCs w:val="48"/>
    </w:rPr>
  </w:style>
  <w:style w:type="character" w:styleId="713">
    <w:name w:val="Subtitle Char"/>
    <w:basedOn w:val="868"/>
    <w:link w:val="878"/>
    <w:uiPriority w:val="11"/>
    <w:rPr>
      <w:sz w:val="24"/>
      <w:szCs w:val="24"/>
    </w:rPr>
  </w:style>
  <w:style w:type="paragraph" w:styleId="714">
    <w:name w:val="Quote"/>
    <w:basedOn w:val="863"/>
    <w:next w:val="863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paragraph" w:styleId="716">
    <w:name w:val="Intense Quote"/>
    <w:basedOn w:val="863"/>
    <w:next w:val="863"/>
    <w:link w:val="7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>
    <w:name w:val="Intense Quote Char"/>
    <w:link w:val="716"/>
    <w:uiPriority w:val="30"/>
    <w:rPr>
      <w:i/>
    </w:rPr>
  </w:style>
  <w:style w:type="character" w:styleId="718">
    <w:name w:val="Header Char"/>
    <w:basedOn w:val="868"/>
    <w:link w:val="871"/>
    <w:uiPriority w:val="99"/>
  </w:style>
  <w:style w:type="character" w:styleId="719">
    <w:name w:val="Footer Char"/>
    <w:basedOn w:val="868"/>
    <w:link w:val="888"/>
    <w:uiPriority w:val="99"/>
  </w:style>
  <w:style w:type="character" w:styleId="720">
    <w:name w:val="Caption Char"/>
    <w:basedOn w:val="885"/>
    <w:link w:val="888"/>
    <w:uiPriority w:val="99"/>
  </w:style>
  <w:style w:type="table" w:styleId="721">
    <w:name w:val="Table Grid Light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Plain Table 1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2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5">
    <w:name w:val="Plain Table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Plain Table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7">
    <w:name w:val="Grid Table 1 Light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4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9">
    <w:name w:val="Grid Table 4 - Accent 1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0">
    <w:name w:val="Grid Table 4 - Accent 2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1">
    <w:name w:val="Grid Table 4 - Accent 3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2">
    <w:name w:val="Grid Table 4 - Accent 4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3">
    <w:name w:val="Grid Table 4 - Accent 5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4">
    <w:name w:val="Grid Table 4 - Accent 6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5">
    <w:name w:val="Grid Table 5 Dark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2">
    <w:name w:val="Grid Table 6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3">
    <w:name w:val="Grid Table 6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4">
    <w:name w:val="Grid Table 6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5">
    <w:name w:val="Grid Table 6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6">
    <w:name w:val="Grid Table 6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7">
    <w:name w:val="Grid Table 6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6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7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4">
    <w:name w:val="List Table 2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5">
    <w:name w:val="List Table 2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6">
    <w:name w:val="List Table 2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7">
    <w:name w:val="List Table 2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8">
    <w:name w:val="List Table 2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9">
    <w:name w:val="List Table 2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0">
    <w:name w:val="List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5 Dark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6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2">
    <w:name w:val="List Table 6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3">
    <w:name w:val="List Table 6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4">
    <w:name w:val="List Table 6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5">
    <w:name w:val="List Table 6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6">
    <w:name w:val="List Table 6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7">
    <w:name w:val="List Table 6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8">
    <w:name w:val="List Table 7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9">
    <w:name w:val="List Table 7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0">
    <w:name w:val="List Table 7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1">
    <w:name w:val="List Table 7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2">
    <w:name w:val="List Table 7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3">
    <w:name w:val="List Table 7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4">
    <w:name w:val="List Table 7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5">
    <w:name w:val="Lined - Accent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Lined - Accent 1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7">
    <w:name w:val="Lined - Accent 2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8">
    <w:name w:val="Lined - Accent 3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9">
    <w:name w:val="Lined - Accent 4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0">
    <w:name w:val="Lined - Accent 5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1">
    <w:name w:val="Lined - Accent 6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2">
    <w:name w:val="Bordered &amp; Lined - Accent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Bordered &amp; Lined - Accent 1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4">
    <w:name w:val="Bordered &amp; Lined - Accent 2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5">
    <w:name w:val="Bordered &amp; Lined - Accent 3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6">
    <w:name w:val="Bordered &amp; Lined - Accent 4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7">
    <w:name w:val="Bordered &amp; Lined - Accent 5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8">
    <w:name w:val="Bordered &amp; Lined - Accent 6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9">
    <w:name w:val="Bordered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0">
    <w:name w:val="Bordered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1">
    <w:name w:val="Bordered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2">
    <w:name w:val="Bordered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3">
    <w:name w:val="Bordered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4">
    <w:name w:val="Bordered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5">
    <w:name w:val="Bordered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6">
    <w:name w:val="footnote text"/>
    <w:basedOn w:val="863"/>
    <w:link w:val="847"/>
    <w:uiPriority w:val="99"/>
    <w:semiHidden/>
    <w:unhideWhenUsed/>
    <w:pPr>
      <w:spacing w:after="40" w:line="240" w:lineRule="auto"/>
    </w:pPr>
    <w:rPr>
      <w:sz w:val="18"/>
    </w:rPr>
  </w:style>
  <w:style w:type="character" w:styleId="847">
    <w:name w:val="Footnote Text Char"/>
    <w:link w:val="846"/>
    <w:uiPriority w:val="99"/>
    <w:rPr>
      <w:sz w:val="18"/>
    </w:rPr>
  </w:style>
  <w:style w:type="character" w:styleId="848">
    <w:name w:val="footnote reference"/>
    <w:basedOn w:val="868"/>
    <w:uiPriority w:val="99"/>
    <w:unhideWhenUsed/>
    <w:rPr>
      <w:vertAlign w:val="superscript"/>
    </w:rPr>
  </w:style>
  <w:style w:type="paragraph" w:styleId="849">
    <w:name w:val="endnote text"/>
    <w:basedOn w:val="863"/>
    <w:link w:val="850"/>
    <w:uiPriority w:val="99"/>
    <w:semiHidden/>
    <w:unhideWhenUsed/>
    <w:pPr>
      <w:spacing w:after="0" w:line="240" w:lineRule="auto"/>
    </w:pPr>
    <w:rPr>
      <w:sz w:val="20"/>
    </w:rPr>
  </w:style>
  <w:style w:type="character" w:styleId="850">
    <w:name w:val="Endnote Text Char"/>
    <w:link w:val="849"/>
    <w:uiPriority w:val="99"/>
    <w:rPr>
      <w:sz w:val="20"/>
    </w:rPr>
  </w:style>
  <w:style w:type="character" w:styleId="851">
    <w:name w:val="endnote reference"/>
    <w:basedOn w:val="868"/>
    <w:uiPriority w:val="99"/>
    <w:semiHidden/>
    <w:unhideWhenUsed/>
    <w:rPr>
      <w:vertAlign w:val="superscript"/>
    </w:rPr>
  </w:style>
  <w:style w:type="paragraph" w:styleId="852">
    <w:name w:val="toc 1"/>
    <w:basedOn w:val="863"/>
    <w:next w:val="863"/>
    <w:uiPriority w:val="39"/>
    <w:unhideWhenUsed/>
    <w:pPr>
      <w:ind w:left="0" w:right="0" w:firstLine="0"/>
      <w:spacing w:after="57"/>
    </w:pPr>
  </w:style>
  <w:style w:type="paragraph" w:styleId="853">
    <w:name w:val="toc 2"/>
    <w:basedOn w:val="863"/>
    <w:next w:val="863"/>
    <w:uiPriority w:val="39"/>
    <w:unhideWhenUsed/>
    <w:pPr>
      <w:ind w:left="283" w:right="0" w:firstLine="0"/>
      <w:spacing w:after="57"/>
    </w:pPr>
  </w:style>
  <w:style w:type="paragraph" w:styleId="854">
    <w:name w:val="toc 3"/>
    <w:basedOn w:val="863"/>
    <w:next w:val="863"/>
    <w:uiPriority w:val="39"/>
    <w:unhideWhenUsed/>
    <w:pPr>
      <w:ind w:left="567" w:right="0" w:firstLine="0"/>
      <w:spacing w:after="57"/>
    </w:pPr>
  </w:style>
  <w:style w:type="paragraph" w:styleId="855">
    <w:name w:val="toc 4"/>
    <w:basedOn w:val="863"/>
    <w:next w:val="863"/>
    <w:uiPriority w:val="39"/>
    <w:unhideWhenUsed/>
    <w:pPr>
      <w:ind w:left="850" w:right="0" w:firstLine="0"/>
      <w:spacing w:after="57"/>
    </w:pPr>
  </w:style>
  <w:style w:type="paragraph" w:styleId="856">
    <w:name w:val="toc 5"/>
    <w:basedOn w:val="863"/>
    <w:next w:val="863"/>
    <w:uiPriority w:val="39"/>
    <w:unhideWhenUsed/>
    <w:pPr>
      <w:ind w:left="1134" w:right="0" w:firstLine="0"/>
      <w:spacing w:after="57"/>
    </w:pPr>
  </w:style>
  <w:style w:type="paragraph" w:styleId="857">
    <w:name w:val="toc 6"/>
    <w:basedOn w:val="863"/>
    <w:next w:val="863"/>
    <w:uiPriority w:val="39"/>
    <w:unhideWhenUsed/>
    <w:pPr>
      <w:ind w:left="1417" w:right="0" w:firstLine="0"/>
      <w:spacing w:after="57"/>
    </w:pPr>
  </w:style>
  <w:style w:type="paragraph" w:styleId="858">
    <w:name w:val="toc 7"/>
    <w:basedOn w:val="863"/>
    <w:next w:val="863"/>
    <w:uiPriority w:val="39"/>
    <w:unhideWhenUsed/>
    <w:pPr>
      <w:ind w:left="1701" w:right="0" w:firstLine="0"/>
      <w:spacing w:after="57"/>
    </w:pPr>
  </w:style>
  <w:style w:type="paragraph" w:styleId="859">
    <w:name w:val="toc 8"/>
    <w:basedOn w:val="863"/>
    <w:next w:val="863"/>
    <w:uiPriority w:val="39"/>
    <w:unhideWhenUsed/>
    <w:pPr>
      <w:ind w:left="1984" w:right="0" w:firstLine="0"/>
      <w:spacing w:after="57"/>
    </w:pPr>
  </w:style>
  <w:style w:type="paragraph" w:styleId="860">
    <w:name w:val="toc 9"/>
    <w:basedOn w:val="863"/>
    <w:next w:val="863"/>
    <w:uiPriority w:val="39"/>
    <w:unhideWhenUsed/>
    <w:pPr>
      <w:ind w:left="2268" w:right="0" w:firstLine="0"/>
      <w:spacing w:after="57"/>
    </w:pPr>
  </w:style>
  <w:style w:type="paragraph" w:styleId="861">
    <w:name w:val="TOC Heading"/>
    <w:uiPriority w:val="39"/>
    <w:unhideWhenUsed/>
  </w:style>
  <w:style w:type="paragraph" w:styleId="862">
    <w:name w:val="table of figures"/>
    <w:basedOn w:val="863"/>
    <w:next w:val="863"/>
    <w:uiPriority w:val="99"/>
    <w:unhideWhenUsed/>
    <w:pPr>
      <w:spacing w:after="0" w:afterAutospacing="0"/>
    </w:pPr>
  </w:style>
  <w:style w:type="paragraph" w:styleId="863" w:default="1">
    <w:name w:val="Normal"/>
    <w:qFormat/>
  </w:style>
  <w:style w:type="paragraph" w:styleId="864">
    <w:name w:val="Heading 1"/>
    <w:basedOn w:val="863"/>
    <w:next w:val="863"/>
    <w:link w:val="87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65">
    <w:name w:val="Heading 2"/>
    <w:basedOn w:val="863"/>
    <w:next w:val="863"/>
    <w:link w:val="874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66">
    <w:name w:val="Heading 3"/>
    <w:basedOn w:val="863"/>
    <w:next w:val="863"/>
    <w:link w:val="875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67">
    <w:name w:val="Heading 4"/>
    <w:basedOn w:val="863"/>
    <w:next w:val="863"/>
    <w:link w:val="876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68" w:default="1">
    <w:name w:val="Default Paragraph Font"/>
    <w:uiPriority w:val="1"/>
    <w:semiHidden/>
    <w:unhideWhenUsed/>
  </w:style>
  <w:style w:type="table" w:styleId="8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0" w:default="1">
    <w:name w:val="No List"/>
    <w:uiPriority w:val="99"/>
    <w:semiHidden/>
    <w:unhideWhenUsed/>
  </w:style>
  <w:style w:type="paragraph" w:styleId="871">
    <w:name w:val="Header"/>
    <w:basedOn w:val="863"/>
    <w:link w:val="872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72" w:customStyle="1">
    <w:name w:val="Верхний колонтитул Знак"/>
    <w:basedOn w:val="868"/>
    <w:link w:val="871"/>
    <w:uiPriority w:val="99"/>
  </w:style>
  <w:style w:type="character" w:styleId="873" w:customStyle="1">
    <w:name w:val="Заголовок 1 Знак"/>
    <w:basedOn w:val="868"/>
    <w:link w:val="864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74" w:customStyle="1">
    <w:name w:val="Заголовок 2 Знак"/>
    <w:basedOn w:val="868"/>
    <w:link w:val="865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75" w:customStyle="1">
    <w:name w:val="Заголовок 3 Знак"/>
    <w:basedOn w:val="868"/>
    <w:link w:val="866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76" w:customStyle="1">
    <w:name w:val="Заголовок 4 Знак"/>
    <w:basedOn w:val="868"/>
    <w:link w:val="867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77">
    <w:name w:val="Normal Indent"/>
    <w:basedOn w:val="863"/>
    <w:uiPriority w:val="99"/>
    <w:unhideWhenUsed/>
    <w:pPr>
      <w:ind w:left="720"/>
    </w:pPr>
  </w:style>
  <w:style w:type="paragraph" w:styleId="878">
    <w:name w:val="Subtitle"/>
    <w:basedOn w:val="863"/>
    <w:next w:val="863"/>
    <w:link w:val="879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79" w:customStyle="1">
    <w:name w:val="Подзаголовок Знак"/>
    <w:basedOn w:val="868"/>
    <w:link w:val="878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80">
    <w:name w:val="Title"/>
    <w:basedOn w:val="863"/>
    <w:next w:val="863"/>
    <w:link w:val="881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81" w:customStyle="1">
    <w:name w:val="Заголовок Знак"/>
    <w:basedOn w:val="868"/>
    <w:link w:val="880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82">
    <w:name w:val="Emphasis"/>
    <w:basedOn w:val="868"/>
    <w:uiPriority w:val="20"/>
    <w:qFormat/>
    <w:rPr>
      <w:i/>
      <w:iCs/>
    </w:rPr>
  </w:style>
  <w:style w:type="character" w:styleId="883">
    <w:name w:val="Hyperlink"/>
    <w:basedOn w:val="868"/>
    <w:uiPriority w:val="99"/>
    <w:unhideWhenUsed/>
    <w:rPr>
      <w:color w:val="0563c1" w:themeColor="hyperlink"/>
      <w:u w:val="single"/>
    </w:rPr>
  </w:style>
  <w:style w:type="table" w:styleId="884">
    <w:name w:val="Table Grid"/>
    <w:basedOn w:val="869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85">
    <w:name w:val="Caption"/>
    <w:basedOn w:val="863"/>
    <w:next w:val="863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886" w:customStyle="1">
    <w:name w:val="Без интервала Знак"/>
    <w:basedOn w:val="868"/>
    <w:link w:val="887"/>
    <w:uiPriority w:val="1"/>
    <w:rPr>
      <w:rFonts w:ascii="Times New Roman" w:hAnsi="Times New Roman" w:cs="Times New Roman" w:eastAsiaTheme="minorEastAsia"/>
    </w:rPr>
  </w:style>
  <w:style w:type="paragraph" w:styleId="887">
    <w:name w:val="No Spacing"/>
    <w:link w:val="886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88">
    <w:name w:val="Footer"/>
    <w:basedOn w:val="863"/>
    <w:link w:val="88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9" w:customStyle="1">
    <w:name w:val="Нижний колонтитул Знак"/>
    <w:basedOn w:val="868"/>
    <w:link w:val="888"/>
    <w:uiPriority w:val="99"/>
  </w:style>
  <w:style w:type="paragraph" w:styleId="890">
    <w:name w:val="List Paragraph"/>
    <w:basedOn w:val="863"/>
    <w:uiPriority w:val="99"/>
    <w:pPr>
      <w:contextualSpacing/>
      <w:ind w:left="720"/>
    </w:pPr>
  </w:style>
  <w:style w:type="paragraph" w:styleId="891" w:customStyle="1">
    <w:name w:val="ConsPlusNormal"/>
    <w:qFormat/>
    <w:pPr>
      <w:spacing w:after="0" w:line="240" w:lineRule="auto"/>
      <w:widowControl w:val="off"/>
    </w:pPr>
    <w:rPr>
      <w:rFonts w:ascii="Calibri" w:hAnsi="Calibri" w:eastAsia="Times New Roman" w:cs="Calibri"/>
      <w:szCs w:val="20"/>
      <w:lang w:val="ru-RU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16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837c" TargetMode="External"/><Relationship Id="rId20" Type="http://schemas.openxmlformats.org/officeDocument/2006/relationships/hyperlink" Target="https://m.edsoo.ru/7f41837c" TargetMode="External"/><Relationship Id="rId21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837c" TargetMode="External"/><Relationship Id="rId25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7f41837c" TargetMode="External"/><Relationship Id="rId27" Type="http://schemas.openxmlformats.org/officeDocument/2006/relationships/hyperlink" Target="https://m.edsoo.ru/7f41837c" TargetMode="External"/><Relationship Id="rId28" Type="http://schemas.openxmlformats.org/officeDocument/2006/relationships/hyperlink" Target="https://m.edsoo.ru/7f41837c" TargetMode="External"/><Relationship Id="rId29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7f41a636" TargetMode="External"/><Relationship Id="rId34" Type="http://schemas.openxmlformats.org/officeDocument/2006/relationships/hyperlink" Target="https://m.edsoo.ru/7f41a636" TargetMode="External"/><Relationship Id="rId35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7f41a636" TargetMode="External"/><Relationship Id="rId3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7f41a6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BE544-B704-4596-80C1-01D9B24DC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17</cp:revision>
  <dcterms:created xsi:type="dcterms:W3CDTF">2023-09-06T17:55:00Z</dcterms:created>
  <dcterms:modified xsi:type="dcterms:W3CDTF">2024-09-20T11:24:25Z</dcterms:modified>
</cp:coreProperties>
</file>